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PE23.013173 vom 3. November 2023</w:t>
      </w:r>
    </w:p>
    <w:p>
      <w:r>
        <w:t>VD Tribunal cantonal, 2023-11-03, FR</w:t>
      </w:r>
    </w:p>
    <w:p>
      <w:r>
        <w:rPr>
          <w:b/>
        </w:rPr>
        <w:t xml:space="preserve">Quelle: </w:t>
      </w:r>
      <w:r>
        <w:t>https://mcp.opencaselaw.ch/entscheid/vd_gerichte_PE23.013173</w:t>
      </w:r>
    </w:p>
    <w:p>
      <w:r>
        <w:t>FR: VD_GERICHTE PE23.013173 du 3 novembre 2023</w:t>
      </w:r>
    </w:p>
    <w:p>
      <w:r>
        <w:t>IT: VD_GERICHTE PE23.013173 del 3 novembre 2023</w:t>
      </w:r>
    </w:p>
    <w:p>
      <w:pPr>
        <w:pStyle w:val="Heading2"/>
      </w:pPr>
      <w:r>
        <w:t>Erwägungen</w:t>
      </w:r>
    </w:p>
    <w:p>
      <w:r>
        <w:rPr>
          <w:b/>
        </w:rPr>
        <w:t>E. 1</w:t>
      </w:r>
    </w:p>
    <w:p>
      <w:r>
        <w:t>Par ordonnance du 13 octobre 2023, le Tribunal des mesures de contrainte a ordonné la détention provisoire d’A.________ (I), a fixé la durée maximale de la détention provisoire à deux mois, soit au plus tard jusqu’au 10 décembre 2023 (II), et a dit que les frais de cette ordonnance suivaient le sort de la cause (III). 353</w:t>
      </w:r>
    </w:p>
    <w:p>
      <w:r>
        <w:t>- 2 -</w:t>
      </w:r>
    </w:p>
    <w:p>
      <w:r>
        <w:rPr>
          <w:b/>
        </w:rPr>
        <w:t>E. 2</w:t>
      </w:r>
    </w:p>
    <w:p>
      <w:r>
        <w:t>Par acte du 15 octobre 2023, remis à la poste le 17 octobre 2023, rédigé en roumain, A.________, agissant seul, a recouru contre cette ordonnance. Par avis du 27 octobre 2023, la Cour de céans a informé A.________ que la langue de la procédure était le français et lui a imparti un délai au 6 novembre 2023 pour déposer une traduction en français de son recours du 17 octobre 2023, à défaut de quoi celui-ci pourrait être déclaré irrecevable. Par acte du 18 octobre 2023, A.________, par son défenseur d’office, a déclaré retirer son recours.</w:t>
      </w:r>
    </w:p>
    <w:p>
      <w:r>
        <w:rPr>
          <w:b/>
        </w:rPr>
        <w:t>E. 3</w:t>
      </w:r>
    </w:p>
    <w:p>
      <w:r>
        <w:t>Le retrait étant intervenu avant la clôture de l’échange de mémoires, il y a lieu d’en prendre acte et de rayer la cause du rôle (art. 386 al. 2 CPP [Code de procédure pénale suisse du 5 octobre 2007 ; RS 312.0]). L’arrêt sera exceptionnellement rendu sans frais. Par ces motifs, la Chambre des recours pénale prononce : I. Il est pris acte du retrait du recours. II. La cause est rayée du rôle. III. L’arrêt, rendu sans frais, est exécutoire. La présidente : La greffière :</w:t>
      </w:r>
    </w:p>
    <w:p>
      <w:r>
        <w:t>- 3 - Du Le présent arrêt, dont la rédaction a été approuvée à huis clos, est notifié, par l'envoi d'une copie complète, à : - Me Yannick Bersot, avocat (pour A.________), - Ministère public central ;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