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PE23.012731 vom 9. Februar 2024</w:t>
      </w:r>
    </w:p>
    <w:p>
      <w:r>
        <w:t>VD Tribunal cantonal, 2024-02-09, FR</w:t>
      </w:r>
    </w:p>
    <w:p>
      <w:r>
        <w:rPr>
          <w:b/>
        </w:rPr>
        <w:t xml:space="preserve">Quelle: </w:t>
      </w:r>
      <w:r>
        <w:t>https://mcp.opencaselaw.ch/entscheid/vd_gerichte_PE23.012731</w:t>
      </w:r>
    </w:p>
    <w:p>
      <w:r>
        <w:t>FR: VD_GERICHTE PE23.012731 du 9 février 2024</w:t>
      </w:r>
    </w:p>
    <w:p>
      <w:r>
        <w:t>IT: VD_GERICHTE PE23.012731 del 9 febbraio 2024</w:t>
      </w:r>
    </w:p>
    <w:p>
      <w:pPr>
        <w:pStyle w:val="Heading2"/>
      </w:pPr>
      <w:r>
        <w:t>Erwägungen</w:t>
      </w:r>
    </w:p>
    <w:p>
      <w:r>
        <w:rPr>
          <w:b/>
        </w:rPr>
        <w:t>E. 4.1</w:t>
      </w:r>
    </w:p>
    <w:p>
      <w:r>
        <w:t>L’appelant invoque une violation du droit. Il soutient qu’un doute subsiste sur le fait de savoir si la bousculade intervenue le 25 février 2023 a dépassé le seuil de ce qui est socialement toléré, étant donné que son geste serait survenu ensuite des propos du plaignant sur sa mère et que celui-ci l’aurait ensuite maîtrisé au sol pendant de longues minutes. En outre, les voies de fait supposent que l’élément subjectif de l’intention soit réalisé, ce qui ne serait pas le cas. Ensuite, l’appelant estime que l’infraction de menaces ne serait pas réalisée, dès lors que ses allégations n’auraient pas été graves, les propos tenus auprès du boulanger constituant en réalité une plaisanterie de mauvais goût et les termes hypothétiquement prononcés à haute voix l’auraient été dans le huis clos de son appartement.</w:t>
      </w:r>
    </w:p>
    <w:p>
      <w:r>
        <w:rPr>
          <w:b/>
        </w:rPr>
        <w:t>E. 4.2.1</w:t>
      </w:r>
    </w:p>
    <w:p>
      <w:r>
        <w:t>Aux termes de l’art. 126 al. 1 CP, quiconque se livre sur une personne à des voies de fait qui ne causent ni lésion corporelle ni atteinte à la santé est,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La gifle, les coups de poing ou de pied ou les fortes bourrades avec les mains ou les coudes constituent des</w:t>
      </w:r>
    </w:p>
    <w:p>
      <w:r>
        <w:t>- 17 - exemples types de voies de fait (Dupuis et alii, Petit commentaire du Code pénal, 2e éd., Bâle 2017 nn. 4 et 5 ad art. 126 CP). La question de savoir si l'atteinte dépasse ce qui est socialement toléré, et parvient en ce sens au seuil des voies de fait, s'apprécie au regard des circonstances propres à chaque cas d'espèce (ATF 117 IV 14 consid. 2a ; Dupuis et alii, op. cit., n. 6 ad art. 126 CP). Les voies de fait sont intentionnelles. Le dol éventuel suffit (TF 6B_979/2021 précité ; TF 6B_508/2021 du 14 janvier 2022).</w:t>
      </w:r>
    </w:p>
    <w:p>
      <w:r>
        <w:rPr>
          <w:b/>
        </w:rPr>
        <w:t>E. 4.2.2</w:t>
      </w:r>
    </w:p>
    <w:p>
      <w:r>
        <w:t>En vertu de l’art. 180 al. 1 CP, quiconque, par une menace grave, alarme ou effraie une personne est, sur plainte, puni d’une peine privative de liberté de trois ans au plus ou d’une peine pécuniaire. La menace suppose que l'auteur ait volontairement fait redouter à sa victime la survenance d'un préjudice, au sens large (ATF 122 IV 97 consid. 2b p. 100). Elle constitue un moyen de pression psychologique consistant à annoncer un dommage futur dont la réalisation est présentée comme dépendante de la volonté de l'auteur, sans toutefois qu'il soit nécessaire que cette dépendance soit effective (cf. ATF 117 IV 445 consid. 2b p. 448 ; ATF 106 IV 125 consid. 2a p. 128), ni que l'auteur ait réellement la volonté de réaliser sa menace (ATF 122 IV 322 consid. 1a p. 324).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p. 325).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p. 156 ; ATF 119 IV 1 consid. 5a p. 3 ; TF 6B_135/2021 du 27 septembre 2021 consid. 3.1 ; TF 6B_1314/2018 du 29 janvier 2019 consid. 3.2.1). Subjectivement, l'auteur doit avoir l'intention non seulement de proférer des menaces graves, mais aussi d'alarmer ou d'effrayer le</w:t>
      </w:r>
    </w:p>
    <w:p>
      <w:r>
        <w:t>- 18 - destinataire. Le dol éventuel suffit (TF 6B_1314/2018 du 29 janvier 2019 consid. 3.2.1 ; TF 6B_787/2018 du 1er octobre 2018 consid. 3.1).</w:t>
      </w:r>
    </w:p>
    <w:p>
      <w:r>
        <w:rPr>
          <w:b/>
        </w:rPr>
        <w:t>E. 4.3</w:t>
      </w:r>
    </w:p>
    <w:p>
      <w:r>
        <w:t>En l’espèce, le fait pour l’appelant d’entendre des propos qui le fâchent au sujet de sa mère ne justifie pas pour autant de pousser le plaignant, qui plus est dans la cage d’escalier. Ce contact physique agressif dû à la colère n’est pas socialement toléré et l’appelant, au vu de ses antécédents, ne pouvait l’ignorer. Quelle qu’ait été la réaction postérieure du plaignant, elle ne saurait rendre a posteriori licite le geste du recourant. Compte tenu des faits retenus, l’infraction de voies de fait est réalisée et doit être confirmée. S’agissant des menaces, force est de constater qu’il n’a jamais été question de plaisanterie comme tente de le soutenir l’appelant au stade de l’appel. Il a au contraire expliqué à l’audience d’appel qu’en déclarant au boulanger qu’il allait mettre le feu à l’immeuble – propos qui ont été rapportés au plaignant – il exprimait son désarroi face à la situation et que le couple méritait une punition (cf. supra, p. 3). L’appelant a admis avoir dit au plaignant et à son épouse qu’il allait les faire « payer ». On ne saurait suivre son explication de circonstance sur l’interprétation littérale qu’il faudrait accorder à cette expression, compte tenu du conflit aigu entre les parties, de ses antécédents et du fait qu’il a amplifié cette menace en déclarant au couple qu’il « méritait une balle dans la tête » (PV aud. 1, p. 2). Il tente en vain de faire croire qu’il a tenu ses propos lorsqu’il était chez lui et que ceux-ci étaient « sortis de ses tripes » (cf. déclaration d’appel, p. 4). D’une part, le fait que ces termes « sortent de ses tripes » n’est en rien rassurant et met en lumière toute la colère qu’il ressent face au couple. D’autre part, quand bien même cela serait vrai, ce dont la Cour de céans n’est absolument pas convaincue, l’appelant s’est accommodé du fait que les destinataires de ses paroles aient pu l’entendre (cf. jugement, p. 6). Ainsi, les termes employés sont objectivement effrayants et le plaignant a effectivement craint pour sa vie. L’infraction de menaces est également réalisée.</w:t>
      </w:r>
    </w:p>
    <w:p>
      <w:r>
        <w:t>- 19 -</w:t>
      </w:r>
    </w:p>
    <w:p>
      <w:r>
        <w:rPr>
          <w:b/>
        </w:rPr>
        <w:t>E. 5</w:t>
      </w:r>
    </w:p>
    <w:p>
      <w:r>
        <w:t>La condamnation de l’appelant pour les deux infractions étant confirmée, la conclusion de celui-ci tendant au rejet des conclusions civiles, qui n’est pas motivée, doit être rejetée sans qu’on s’y attarde davantage.</w:t>
      </w:r>
    </w:p>
    <w:p>
      <w:r>
        <w:rPr>
          <w:b/>
        </w:rPr>
        <w:t>E. 6.1</w:t>
      </w:r>
    </w:p>
    <w:p>
      <w:r>
        <w:t>S’agissant de sa culpabilité et de la fixation de la peine, l’appelant reproche au tribunal de police de ne pas avoir tenu compte, à décharge, de ses problèmes de santé et du litige préexistant entre les parties, éléments qui, selon lui, auraient dû conduire à son acquittement.</w:t>
      </w:r>
    </w:p>
    <w:p>
      <w:r>
        <w:rPr>
          <w:b/>
        </w:rPr>
        <w:t>E. 6.1.1</w:t>
      </w:r>
    </w:p>
    <w:p>
      <w:r>
        <w:t>et les réf. citées ; TF 6B_836/2023 du 18 mars 2024 consid. 3.1 ; TF 6B_1237/2023 du 13 mars 2024 consid. 1.1).</w:t>
      </w:r>
    </w:p>
    <w:p>
      <w:r>
        <w:t>- 20 -</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6.2.2</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w:t>
      </w:r>
    </w:p>
    <w:p>
      <w:r>
        <w:t>- 21 - 6B_930/2021 et 6B_938/2021 précités ; TF 6B_1403/2021 précité ; TF 6B_1175/2021 précité).</w:t>
      </w:r>
    </w:p>
    <w:p>
      <w:r>
        <w:rPr>
          <w:b/>
        </w:rPr>
        <w:t>E. 6.3</w:t>
      </w:r>
    </w:p>
    <w:p>
      <w:r>
        <w:t>Le premier juge a estimé que la culpabilité du prévenu était importante, qu’il persistait à nier l’évidence et qu’hormis le fait qu’il se trouvait sous curatelle de portée générale, aucun élément à décharge ne pouvait être retenu. Cette appréciation est correcte. Il y a lieu de considérer que la mesure de protection de l’adulte retenue par le premier juge englobe déjà les problèmes de santé de l’appelant, dès lors qu’ils en sont la cause. En revanche, le litige préexistant entre les parties, qui est à l’origine de la colère de l’appelant, et donc des événements qui lui sont reprochés, n’est pas un élément à décharge, dans la mesure où il n’est pas établi que l’appelant a subi une injustice du fait de ce litige. La peine de 30 jours-amende pour les menaces proférées n’a rien d’excessif et peut être confirmée, étant précisé qu’il s’agit en réalité d’une peine complémentaire à celle prononcée le 18 septembre 2023 par le Ministère public du canton de Genève (art. 49 al. 2 CP). Le dispositif du jugement sera rectifié d’office sur ce point. L’amende de 150 fr. prononcée pour les voies de fait est également adéquate. Le premier juge a refusé d’assortir la peine pécuniaire du sursis. L’appelant n’a pas contesté ce refus, à juste titre, compte tenu de ses antécédents et de son attitude en procédure, consistant à rejeter sur le plaignant la responsabilité des événements. Encore à l’audience d’appel, il a déclaré qu’il ne regrettait rien et qu’il referait la même chose s’il se retrouvait dans la même situation (cf. supra, p. 3).</w:t>
      </w:r>
    </w:p>
    <w:p>
      <w:r>
        <w:rPr>
          <w:b/>
        </w:rPr>
        <w:t>E. 7.1</w:t>
      </w:r>
    </w:p>
    <w:p>
      <w:r>
        <w:t>Dans un chapitre de la déclaration d’appel intitulé « Conséquences accessoires du jugement sur la situation de l’appelant »,</w:t>
      </w:r>
    </w:p>
    <w:p>
      <w:r>
        <w:t>- 22 - celui-ci estime que le jugement est « inopportun » puisqu’il engendre des conséquences importantes sur sa situation. Il soutient avoir été expulsé de son appartement en raison du litige l’opposant au plaignant et à son épouse. Il fait valoir que la présente procédure est inscrite dans son casier judiciaire, lui causant ainsi du tort par rapport à ses perspectives.</w:t>
      </w:r>
    </w:p>
    <w:p>
      <w:r>
        <w:rPr>
          <w:b/>
        </w:rPr>
        <w:t>E. 7.2</w:t>
      </w:r>
    </w:p>
    <w:p>
      <w:r>
        <w:t>On ignore si l’appelant entend par-là invoquer un des motifs d’exemption de peine figurant aux art. 52 ss CP. Quoi qu’il en soit, un tel motif est illusoire en l’espèce. Comme le dit l’appelant lui-même, les parties étaient en procédure devant le Tribunal des baux avant la présente affaire. Ce n’est donc pas le présent jugement qui est la cause de son expulsion. Par ailleurs, le casier judiciaire en son état actuel est suffisamment dissuasif pour un bailleur potentiel, sans que la présente affaire aggrave la situation. A suivre l’appelant, toute condamnation pénale qui est inscrite au casier judiciaire devrait être exclue, dès lors qu’elle nuit à l’avenir du condamné, ce qui est un non-sens total.</w:t>
      </w:r>
    </w:p>
    <w:p>
      <w:r>
        <w:rPr>
          <w:b/>
        </w:rPr>
        <w:t>E. 8</w:t>
      </w:r>
    </w:p>
    <w:p>
      <w:r>
        <w:t>L’appel devant être rejeté, les conclusions portant sur les frais et indemnités sont sans objet.</w:t>
      </w:r>
    </w:p>
    <w:p>
      <w:r>
        <w:rPr>
          <w:b/>
        </w:rPr>
        <w:t>E. 9</w:t>
      </w:r>
    </w:p>
    <w:p>
      <w:r>
        <w:t>En définitive, l’appel doit être rejeté et le jugement intégralement confirmé, sous réserve de la rectification d’office qu’il y a lieu d’opérer au chiffre III de son dispositif. X.________ a droit à une indemnité pour les dépenses occasionnées par l’exercice raisonnable de ses droits en procédure d’appel, à la charge de l’appelant. La liste d’opérations produite par son défenseur de choix, Me Christophe Rapin (P. 43), mentionne un temps consacré au dossier de 1 h 42 au tarif horaire de 500 fr. pour l’avocat breveté et de 7h30 au tarif horaire de 200 fr. pour l’avocat stagiaire. La durée d’activité déployée par ce dernier pour l’examen du jugement et de la déclaration d’appel (opération du 3 octobre 2024) est excessive et doit être ramenée à 1 heure. Il y a ensuite lieu de comptabiliser 1 heure pour l’audience d’appel, contrairement aux 2 heures estimées. Enfin, le tarif horaire doit être fixé à 250 fr. pour l’avocat breveté, la cause ne revêtant</w:t>
      </w:r>
    </w:p>
    <w:p>
      <w:r>
        <w:t>- 23 - aucune difficulté particulière, et à 160 fr. pour l’avocat stagiaire (cf. art. 26a al. 3 TFIP [tarif des frais de procédure et indemnités en matière pénale du 28 septembre 2010 ; BLV 312.03.1]). Ainsi, le défraiement total s’élève à 1’145 fr., auquel on ajoutera les débours de 2 %, par 22 fr. 90, ainsi que la TVA sur le tout, soit 94 fr. 60, de sorte que l’indemnité s’élève au total à 1'262 fr. 50. Vu l’issue de la cause, les frais d’appel, par 2’050 fr., constitués en l’espèce des émoluments de jugement et d’audience (art. 21 al. 1 et 2 TFIP [tarif des frais de procédure et indemnités en matière pénale du 28 septembre 2010 ; BLV 312.03.1]), seront mis à la charge de Y.________,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