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PE23.012556 vom 21. Mai 2024</w:t>
      </w:r>
    </w:p>
    <w:p>
      <w:r>
        <w:t>VD Tribunal cantonal, 2024-05-21, FR</w:t>
      </w:r>
    </w:p>
    <w:p>
      <w:r>
        <w:rPr>
          <w:b/>
        </w:rPr>
        <w:t xml:space="preserve">Quelle: </w:t>
      </w:r>
      <w:r>
        <w:t>https://mcp.opencaselaw.ch/entscheid/vd_gerichte_PE23.012556</w:t>
      </w:r>
    </w:p>
    <w:p>
      <w:r>
        <w:t>FR: VD_GERICHTE PE23.012556 du 21 mai 2024</w:t>
      </w:r>
    </w:p>
    <w:p>
      <w:r>
        <w:t>IT: VD_GERICHTE PE23.012556 del 21 maggio 2024</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déposé en temps utile devant l’autorité compétente par le lésé qui a qualité pour recourir dès lors qu’il a un intérêt direct au paiement de la contribution d’entretien (art. 382 al. 1 CPP), et satisfaisant aux conditions de forme prescrites par l’art. 385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w:t>
      </w:r>
    </w:p>
    <w:p>
      <w:r>
        <w:t>- 4 - l’infraction ou les conditions à l’ouverture de l’action pénale ne sont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7B_2/2022 du 24 octobre 2023 consid. 2.1.1)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 TF 7B_2/2022 précité).</w:t>
      </w:r>
    </w:p>
    <w:p>
      <w:r>
        <w:rPr>
          <w:b/>
        </w:rPr>
        <w:t>E. 3.1</w:t>
      </w:r>
    </w:p>
    <w:p>
      <w:r>
        <w:t>Le recourant reproche au Ministère public d’avoir considéré que les éléments constitutifs de l’infraction de violation d’une contribution d’entretien n’étaient manifestement pas réunis, au seul motif qu’aucun jugement civil définitif et exécutoire ne fixait le montant d’une contribution d’entretien. Invoquant une violation de la jurisprudence relative à l’art. 217 CP (Code pénal suisse du 21 décembre 1937 ; RS 311.0), il fait en substance valoir qu’en l’absence de décision civile, le Ministère public aurait dû fixer lui-même le montant de l’entretien, en application de la méthode dite « directe ».</w:t>
      </w:r>
    </w:p>
    <w:p>
      <w:r>
        <w:rPr>
          <w:b/>
        </w:rPr>
        <w:t>E. 3.2</w:t>
      </w:r>
    </w:p>
    <w:p>
      <w:r>
        <w:t>Aux termes de l’art. 217 CP,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(TF 6B_1010/2023 du 21 décembre 2023</w:t>
      </w:r>
    </w:p>
    <w:p>
      <w:r>
        <w:t>- 5 - consid. 2.2 ; TF 6B_376/2023 du 18 octobre 2023 consid. 2.2 ; TF 6B_679/2022 du 30 mars 2023 consid. 2.3). Par-là, on entend celui qui, d'une part, ne dispose certes pas de moyens suffisants pour s'acquitter de son obligation, mais qui, d'autre part, ne saisit pas les occasions de gain qui lui sont offertes et qu'il pourrait accepter (ATF 126 IV 131 consid. 3a). Selon la jurisprudence, il n'est pas nécessaire que le débiteur ait eu les moyens de fournir entièrement sa prestation, il suffit qu'il ait pu fournir plus qu'il ne l'a fait et qu'il ait, dans cette mesure, violé son obligation d'entretien (ATF 114 IV 124 consid. 3b ; TF 6B_1010/2023 précité ; TF 6B_679/2022 précité). La question de savoir quelles sont les ressources qu'aurait pu avoir le débiteur d'entretien doit être tranchée par le juge pénal, s'agissant d'une condition objective de punissabilité au regard de l'art. 217 CP (TF 6B_1010/2023 précité ; TF 6B_376/2023 précité). Celui-ci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6B_1010/2023 précité ; TF 6B_376/2023 précité ; TF 6B_1017/2016 du 10 juillet 2017 consid. 2.2). Pour fixer l’étendue de la contribution d’entretien, il faut se référer à un jugement civil exécutoire. Le juge pénal est d’ailleurs lié par un tel jugement (Dupuis et al. [éd.], Petit commentaire, Code pénal, 2e éd., Bâle 2017, n. 10 ad art. 217 CP et les références citées). Lorsqu’une procédure de modification de jugement de divorce est pendante, le juge pénal ne doit pas attendre la décision (Dupuis et al., op. cit., n. 11 ad art. 217 CP et les références citées). Selon la jurisprudence, un prononcé judiciaire ou une convention entre époux ne constituent toutefois pas une condition d’application de l’art. 217 CP. L’arrêt topique qui a tranché cette question de principe est l’ATF 128 IV 86, dont le considérant 2 a la teneur suivante :</w:t>
      </w:r>
    </w:p>
    <w:p>
      <w:r>
        <w:t>- 6 - « (…) Il ressort des travaux préparatoires que le législateur n'a pas voulu subordonner l'application de l'art. 217 CP à l'existence d'une constatation judiciaire. En effet, la Commission du Conseil national pour la préparation du Code pénal a expressément renoncé à préciser que l'obligation d'entretien devait être constatée par une décision judiciaire ou administrative (voir les procès-verbaux de la Commission du Conseil national pour la préparation du Code pénal, VIe session, 2-10 septembre 1926, p. 5). En outre, si l'on subordonnait la poursuite pénale à l'existence d'une décision judiciaire ou d'un accord entre parties, l'art. 217 CP tendrait davantage à protéger ceux-ci que la famille. Aussi, suivant la doctrine majoritaire et en précision de la jurisprudence, faut-il admettre l'application de l'art. 217 CP, même en l'absence de tout prononcé judiciaire et de toute convention privée. L'auteur sera punissable s'il ne fournit pas les aliments ou les subsides dus en vertu du droit de la famille. Une constatation judiciaire préalable ne sera pas nécessaire dans la mesure où l'obligation d'entretien découle directement de la loi. Un jugement ou une convention permettra toutefois souvent de concrétiser l'obligation et rendra plus facile l'établissement des faits. Ainsi, l'intention de ne pas payer le montant dû sera en règle générale donnée si l'obligation a été fixée dans un jugement ou une convention car elle sera alors connue du débiteur. En revanche, l'intention du débiteur sera plus difficile à établir en l'absence de toute décision et de tout accord ; il n'en reste pas moins que le juge pourra prouver l'intention au moins dans les cas patents, notamment lorsque le débiteur n'aura rien payé ou aura versé seulement un montant dérisoire alors qu'il disposait de ressources non négligeables. ».</w:t>
      </w:r>
    </w:p>
    <w:p>
      <w:r>
        <w:rPr>
          <w:b/>
        </w:rPr>
        <w:t>E. 3.3</w:t>
      </w:r>
    </w:p>
    <w:p>
      <w:r>
        <w:t>Compte tenu de la jurisprudence susmentionnée, dès lors que l’existence d’un prononcé judiciaire ou d’une convention entre époux ne constitue pas une condition d’application de l’art. 217 CP, le Ministère public ne pouvait pas considérer que les éléments constitutifs de l’infraction de violation d’une contribution d’entretien n’étaient manifestement pas réalisés pour le seul motif qu’aucun jugement civil définitif et exécutoire ne fixait le montant de la contribution due par la mère du recourant. Il appartiendra ainsi à la procureure d’ouvrir une instruction pénale contre E.________ pour violation d’une contribution d’entretien et d’examiner si les autres éléments constitutifs de l’infraction sont réunis, ce qui ne saurait être exclu à ce stade dès lors qu’il ressort de la plainte et des pièces produites à l’appui de celle-ci qu’aucun montant n’a été payé et que la mère du recourant pourrait avoir les moyens de contribuer à l’entretien de son fils.</w:t>
      </w:r>
    </w:p>
    <w:p>
      <w:r>
        <w:t>- 7 -</w:t>
      </w:r>
    </w:p>
    <w:p>
      <w:r>
        <w:rPr>
          <w:b/>
        </w:rPr>
        <w:t>E. 4</w:t>
      </w:r>
    </w:p>
    <w:p>
      <w:r>
        <w:t>En définitive, le recours doit être admis et l’ordonnance entreprise annulée. Le dossier de la cause sera renvoyé au Ministère public pour qu’il procède dans le sens des considérants. Vu l’admission du recours, les frais de la procédure, constitués en l’espèce du seul émolument d'arrêt, par 770 fr. (art. 20 al. 1 TFIP [tarif des frais de procédure et indemnités en matière pénale du 28 septembre 2010 ; BLV 312.03.1]), seront laissés à la charge de l’Etat (art. 428 al. 4 CPP). Le montant de 550 fr. versé par le recourant à titre de sûretés lui sera par ailleurs restitué (art. 7 TFIP). Le recourant, qui a procédé avec l’assistance d’un conseil de choix et qui a obtenu gain de cause, a droit, de la part de l’Etat, à une indemnité pour les dépenses occasionnées par la procédure de recours (art. 433 al. 1 let. a CPP, applicable par renvoi de l’art. 436 al. 1 CPP). Au vu du mémoire déposé et de la nature de l’affaire, cette indemnité sera fixée à 750 fr., correspondant à 2 h 30 d’activité nécessaire d’avocat au tarif horaire de 300 fr. (art. 26a al. 3 TFIP), montant auquel il convient d’ajouter des débours forfaitaires à concurrence de 2 % des honoraires admis (art. 19 al. 2 TDC [tarif des dépens en matière civile du 23 novembre 2010 ; BLV 270.11.6], applicable par renvoi de l’art. 26a al. 6 TFIP), par 15 fr., plus la TVA au taux de 8,1 %, par 61 fr. 95, soit à 827 fr. au total en chiffres arrondis. Par ces motifs, la Chambre des recours pénale prononce : I. Le recours est admis. II. L’ordonnance du 8 février 2024 est annulée. III. Le dossier de la cause est renvoyé au Ministère public de l’arrondissement de l’Est vaudois pour qu’il procède dans le sens des considérants.</w:t>
      </w:r>
    </w:p>
    <w:p>
      <w:r>
        <w:t>- 8 - IV. Les frais d’arrêt, par 770 fr. (sept cent septante francs), sont laissés à la charge de l’Etat. V. Le montant de 550 fr. (cinq cent cinquante francs) versé par D.G.________ à titre de sûretés lui est restitué. VI. Une indemnité de 827 fr. (huit cent vingt-sept francs) est allouée au recourant pour les dépenses occasionnées par la procédure de recours, à la charge de l’Etat. VII. L’arrêt est exécutoire. Le président : La greffière : Du Le présent arrêt, dont la rédaction a été approuvée à huis clos, est notifié, par l'envoi d'une copie complète, à : - Me Adrien Gabellon, avocat (pour D.G.________), - Ministère public central, et communiqué à : - Mme la Procureure du Ministère public de l’arrondissement de l’Est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