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PE23.011685 vom 20. Dezember 2023</w:t>
      </w:r>
    </w:p>
    <w:p>
      <w:r>
        <w:t>VD Tribunal cantonal, 2023-12-20, FR</w:t>
      </w:r>
    </w:p>
    <w:p>
      <w:r>
        <w:rPr>
          <w:b/>
        </w:rPr>
        <w:t xml:space="preserve">Quelle: </w:t>
      </w:r>
      <w:r>
        <w:t>https://mcp.opencaselaw.ch/entscheid/vd_gerichte_PE23.011685</w:t>
      </w:r>
    </w:p>
    <w:p>
      <w:r>
        <w:t>FR: VD_GERICHTE PE23.011685 du 20 décembre 2023</w:t>
      </w:r>
    </w:p>
    <w:p>
      <w:r>
        <w:t>IT: VD_GERICHTE PE23.011685 del 20 dicembre 2023</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w:t>
      </w:r>
    </w:p>
    <w:p>
      <w:r>
        <w:t>- 5 -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et dans les formes prescrites (art. 385 al. 1 CPP), sous réserve de ce qui sera précisé plus bas (cf. consid. 3.3), auprès de l’autorité compétente, par la partie plaignante qui a qualité pour recourir (art. 382 al. 1 CPP), le recours est recevable.</w:t>
      </w:r>
    </w:p>
    <w:p>
      <w:r>
        <w:rPr>
          <w:b/>
        </w:rPr>
        <w:t>E. 2.1</w:t>
      </w:r>
    </w:p>
    <w:p>
      <w:r>
        <w:t>Dans un premier moyen, A.S.________ se plaint du fait que le Ministère public n’a pas procédé à son audition avant de rendre l’ordonnance querellée.</w:t>
      </w:r>
    </w:p>
    <w:p>
      <w:r>
        <w:rPr>
          <w:b/>
        </w:rPr>
        <w:t>E. 2.2</w:t>
      </w:r>
    </w:p>
    <w:p>
      <w:r>
        <w:t>Le droit d'être entendu, tel qu'il est garanti par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 août 2021 consid. 7.2.2 ; TF 6B_1007/2020 du 13 avril 2021 consid. 2.3 ; TF 6B_290/2020 du 17 juillet 2020 consid. 2.2 et les réf. citées). En outre, avant de rendre une ordonnance de non-entrée en matière, le Ministère</w:t>
      </w:r>
    </w:p>
    <w:p>
      <w:r>
        <w:t>- 6 -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consid. 7.2.2 ; TF 6B_1014/2020 du 10 février 2021 consid. 2.1.2 ; TF 6B_290/2020 précité consid. 7.2.2 et les réf. citées).</w:t>
      </w:r>
    </w:p>
    <w:p>
      <w:r>
        <w:rPr>
          <w:b/>
        </w:rPr>
        <w:t>E. 2.3</w:t>
      </w:r>
    </w:p>
    <w:p>
      <w:r>
        <w:t>En l’espèce, conformément à la jurisprudence susmentionnée, le Ministère public pouvait statuer sur la base de la seule plainte d’A.S.________ sans procéder au préalable à son audition. La recourante a pu exercer son droit d’être entendue dans le cadre de la procédure de recours. Ce grief est donc infondé.</w:t>
      </w:r>
    </w:p>
    <w:p>
      <w:r>
        <w:rPr>
          <w:b/>
        </w:rPr>
        <w:t>E. 3.1</w:t>
      </w:r>
    </w:p>
    <w:p>
      <w:r>
        <w:t>Dans un second moyen, la recourante reproche en substance au Ministère public de ne pas avoir retenu l’infraction de diffamation. A ce titre, elle expose que les propos tenus par H.________ seraient constitutifs d’une infraction contre l’honneur dès lors que ceux-ci seraient mensongers, la dénigreraient et la feraient « passer pour une personne méprisable, une mère et une épouse indigne ». Elle soutient en outre que les assertions de H.________ relatives aux entretiens téléphoniques qu’elles auraient eus et les modalités de règlement des factures seraient également mensongères.</w:t>
      </w:r>
    </w:p>
    <w:p>
      <w:r>
        <w:rPr>
          <w:b/>
        </w:rPr>
        <w:t>E. 3.2.1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w:t>
      </w:r>
    </w:p>
    <w:p>
      <w:r>
        <w:t>- 7 -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3.2.2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w:t>
      </w:r>
    </w:p>
    <w:p>
      <w:r>
        <w:t>- 8 -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w:t>
      </w:r>
    </w:p>
    <w:p>
      <w:r>
        <w:rPr>
          <w:b/>
        </w:rPr>
        <w:t>E. 3.2.3</w:t>
      </w:r>
    </w:p>
    <w:p>
      <w:r>
        <w:t>Ces deux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148 IV 409 consid. 2.3 ; ATF 137 IV 313 consid. 2.1.1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ATF 119 IV 44 consid. 2a ; ATF 105 IV 194 consid.</w:t>
      </w:r>
    </w:p>
    <w:p>
      <w:r>
        <w:t>- 9 - 2a).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références citées). Pour apprécier si une déclaration est attentatoire à l’honneur, il faut procéder à une interprétation objective selon le sens que le destinataire non prévenu devait, dans les circonstances d’espèce, lui attribuer (ATF 148 IV 409 consid. 2.3.2 ; ATF 137 IV 313 précité consid. 2.1.3). Il y a toujours atteinte à l’honneur lorsqu’on évoque une infraction pénale ou un comportement clairement réprouvé par les conceptions morales généralement admises (ATF 148 IV 409 précité consid. 2.3 ; ATF 145 IV 462 précité consid. 4.2.2).</w:t>
      </w:r>
    </w:p>
    <w:p>
      <w:r>
        <w:rPr>
          <w:b/>
        </w:rPr>
        <w:t>E. 3.2.4</w:t>
      </w:r>
    </w:p>
    <w:p>
      <w:r>
        <w:t>Pour qu’il y ait diffamation ou calomnie, il faut que l’auteur s’adresse à un tiers. Est en principe considérée comme tiers toute personne autre que l’auteur et l’objet des propos qui portent atteinte à l’honneur (ATF 145 IV 462 précité consid. 4.3.3).</w:t>
      </w:r>
    </w:p>
    <w:p>
      <w:r>
        <w:rPr>
          <w:b/>
        </w:rPr>
        <w:t>E. 3.2.5</w:t>
      </w:r>
    </w:p>
    <w:p>
      <w:r>
        <w:t>Tant la diffamation que la calomnie sont des infractions intentionnelles (Corboz, Les infractions en droit suisse, 3e éd., vol. I, Berne 2010, n. 48 ad art. 173 CP et n. 11 ad art. 174 CP).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w:t>
      </w:r>
    </w:p>
    <w:p>
      <w:r>
        <w:rPr>
          <w:b/>
        </w:rPr>
        <w:t>E. 3.3</w:t>
      </w:r>
    </w:p>
    <w:p>
      <w:r>
        <w:t>Comme l’a retenu à juste titre le Ministère public, le message électronique du 30 mai 2023 est un compte-rendu de propos que B.S.________ aurait tenus à H.________ dans le cadre d’une consultation comme « consultante et coach de vie ». Ce compte-rendu a été dressé par C.________, intervenant en protection de l’enfant auprès du SEASP, et</w:t>
      </w:r>
    </w:p>
    <w:p>
      <w:r>
        <w:t>- 10 - soumis pour approbation à H.________, qui s’est déclarée d’accord avec cette synthèse. Certes, la recourante prétend que les « allégations » figurant dans ce compte-rendu sont « inutilement blessantes et irresponsables ». Ce faisant, elle ne précise pas quelles assertions la ferait objectivement apparaître pour méprisable, au sens restrictif où l’entend la jurisprudence du Tribunal fédéral rendue à propos de l’art. 173 CP. Dans cette mesure, ses griefs ne sont pas suffisamment précis (art. 385 al. 1 CPP), ce qui empêche la Chambre de céans de procéder à une interprétation des termes incriminés. Les deux seuls reproches identifiables ont trait au fait que H.________ aurait dit que la recourante ne voulait pas payer la facture de la consultation, d’une part, et que la recourante n’arait eu aucune conversation téléphonique avec elle, d’autre part. Or, on ne discerne pas en quoi le fait que la coach aurait faussement indiqué avoir eu des contacts téléphoniques avec la recourante serait attentatoire à l’honneur. Il en va de même concernant le passage du compte-rendu selon lequel la recourante « ne voulait pas payer les consultations, en disant que la thérapeute était inadéquate ». Il s’agit, comme l’a relevé le Ministère public sans être contredit par la recourante, de faits dépourvus de jugement de valeur qui ne mettent pas en cause la probité et l’intégrité d’A.S.________. Enfin, la recourante ne conteste pas l’appréciation du Ministère public selon laquelle H.________ n’a fait que relater ce que B.S.________ lui a raconté lors de leurs séances, tout en y apportant son point de vue de professionnelle. Cette analyse peut qu’être confirmée. En effet, les propos négatifs relatés au sujet de la recourante – soit notamment le fait qu’elle serait contrôlante et qu’elle maintiendrait avec sa mère une emprise sur son mari – non seulement ne sont pas attentatoires à l’honneur de la recourante mais, au vu des détails qui les accompagnent, ressortent manifestement des confidences faites à l’intéressée par ledit mari. Quant à l’appréciation selon laquelle H.________ aurait plus de craintes</w:t>
      </w:r>
    </w:p>
    <w:p>
      <w:r>
        <w:t>- 11 - concernant les capacités parentales de la recourante (sous-entendu que pour celles de son mari), elle n’est pas non plus attentatoire à l’honneur. Il s’agit au demeurant d’un avis présenté comme tel, et étayé par un raisonnement. En conclusion, les conditions posées par l’art. 174 CP ne sont manifestement pas remplies, faute de propos attentatoires à l’honneur, et faute d’élément subjectif – comme relevé par le Ministère public sans être contesté sur ce point –. C’est donc à juste titre que le Ministère public a refusé d’entrer en matière sur la plainte d’A.S.________.</w:t>
      </w:r>
    </w:p>
    <w:p>
      <w:r>
        <w:rPr>
          <w:b/>
        </w:rPr>
        <w:t>E. 4</w:t>
      </w:r>
    </w:p>
    <w:p>
      <w:r>
        <w:t>En définitive, le recours, manifestement mal fondé doit être rejeté sans échange d'écritures (art. 390 al. 2 CPP), et l’ordonnance attaquée confirmée. Les frais de la procédure de recours, constitués du seul émolument d’arrêt, par 1’210 fr. (art. 20 al. 1 TFIP [Tarif des frais de procédure et indemnités en matière pénale du 28 septembre 2010 ; BLV 312.03.1]), seront mis à la charge de la recourante, qui succombe (art. 428 al. 1 CPP). Le montant de 550 fr. déjà versé par la recourante à titre de sûretés sera imputé sur ces frais (art. 7 TFIP). Par ces motifs, la Chambre des recours pénale prononce : I. Le recours est rejeté. II. L’ordonnance du 9 août 2023 est confirmée. III. Les frais d’arrêt, par 1’210 fr. (mille deux cent dix francs), sont mis à la charge dA.S.________.</w:t>
      </w:r>
    </w:p>
    <w:p>
      <w:r>
        <w:t>- 12 - IV. Le montant de 550 fr. (cinq cent cinquante francs) déjà versé par A.S.________ à titre de sûretés est imputé sur les frais mis à sa charge au chiffre III ci-dessus, le solde dû par elle s’élevant à 660 fr. (six cent soixante francs). V. L’arrêt est exécutoire. La présidente : La greffière : Du Le présent arrêt, dont la rédaction a été approuvée à huis clos, est notifié, par l'envoi d'une copie complète, à : - A.S.________,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