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PE23.011386 vom 31. August 2023</w:t>
      </w:r>
    </w:p>
    <w:p>
      <w:r>
        <w:t>VD Tribunal cantonal, 2023-08-31, FR</w:t>
      </w:r>
    </w:p>
    <w:p>
      <w:r>
        <w:rPr>
          <w:b/>
        </w:rPr>
        <w:t xml:space="preserve">Quelle: </w:t>
      </w:r>
      <w:r>
        <w:t>https://mcp.opencaselaw.ch/entscheid/vd_gerichte_PE23.011386</w:t>
      </w:r>
    </w:p>
    <w:p>
      <w:r>
        <w:t>FR: VD_GERICHTE PE23.011386 du 31 août 2023</w:t>
      </w:r>
    </w:p>
    <w:p>
      <w:r>
        <w:t>IT: VD_GERICHTE PE23.011386 del 31 agosto 2023</w:t>
      </w:r>
    </w:p>
    <w:p>
      <w:pPr>
        <w:pStyle w:val="Heading2"/>
      </w:pPr>
      <w:r>
        <w:t>Erwägungen</w:t>
      </w:r>
    </w:p>
    <w:p>
      <w:r>
        <w:rPr>
          <w:b/>
        </w:rPr>
        <w:t>E. 1</w:t>
      </w:r>
    </w:p>
    <w:p>
      <w:r>
        <w:t>CPP), qui est, dans le canton de Vaud, la Chambre des recours pénale du</w:t>
      </w:r>
    </w:p>
    <w:p>
      <w:r>
        <w:t>- 8 - Tribunal cantonal (art. 13 LVCPP [loi vaudoise d’introduction du Code de procédure pénale suisse du 19 mai 2009 ; BLV 312.01] ; art. 80 LOJV [loi vaudoise d’organisation judiciaire du 12 décembre 1979 ; BLV 173.01]). Interjeté dans le délai légal (art. 396 al. 1 CPP) par le détenu qui a qualité pour recourir (art. 382 al. 1 CPP) et dans les formes prescrites (art. 385 al. 1 CPP), le recours est recevable.</w:t>
      </w:r>
    </w:p>
    <w:p>
      <w:r>
        <w:rPr>
          <w:b/>
        </w:rPr>
        <w:t>E. 2</w:t>
      </w:r>
    </w:p>
    <w:p>
      <w:r>
        <w:t>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 2 CPP).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L’art. 229 al. 1 CPP prévoit que, sur demande écrite du Ministère public, le Tribunal des mesures de contrainte statue sur la détention pour des motifs de sûreté lorsqu'elle fait suite à une détention provisoire.</w:t>
      </w:r>
    </w:p>
    <w:p>
      <w:r>
        <w:rPr>
          <w:b/>
        </w:rPr>
        <w:t>E. 3</w:t>
      </w:r>
    </w:p>
    <w:p>
      <w:r>
        <w:t>Le recourant ne conteste pas en soi l’existence de soupçons suffisants de la commission d’une infraction, à juste titre, l’acte</w:t>
      </w:r>
    </w:p>
    <w:p>
      <w:r>
        <w:t>- 9 - d’accusation rendu le 8 août 2023 par le Ministère public fondant de tels soupçons.</w:t>
      </w:r>
    </w:p>
    <w:p>
      <w:r>
        <w:rPr>
          <w:b/>
        </w:rPr>
        <w:t>E. 3.1</w:t>
      </w:r>
    </w:p>
    <w:p>
      <w:r>
        <w:t>; ATF 143 IV 9 consid. 2.5 ; TF 1B_176/2022 du 21 avril 2022 consid. 3.1). La gravité de l'infraction dépend, outre de la peine menace prévue</w:t>
      </w:r>
    </w:p>
    <w:p>
      <w:r>
        <w:t>- 10 -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1B_176/2022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1B_176/2022 précité ; TF 1B_150/2021 du 16 avril 2021 consid. 4.1). Le risque de récidive peut également se fonder sur les infractions faisant l'objet de la procédure pénale en cours, si le prévenu est fortement soupçonné – avec une probabilité confinant à la certitude – de les avoir commises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 2.9 ; TF 1B_88/2022 du 29 mars 2022 consid. 3.1).</w:t>
      </w:r>
    </w:p>
    <w:p>
      <w:r>
        <w:t>- 11 -</w:t>
      </w:r>
    </w:p>
    <w:p>
      <w:r>
        <w:rPr>
          <w:b/>
        </w:rPr>
        <w:t>E. 4.1</w:t>
      </w:r>
    </w:p>
    <w:p>
      <w:r>
        <w:t>Le recourant conteste en revanche l’existence d’un risque de réitération. Il fait valoir qu’il ressort des faits que pendant deux semaines, le couple qu’il forme avec [...] avait subi de fortes tensions provenant de leur environnement, qu’il avait alors consommé beaucoup d’alcool, et qu’il était alcoolisé lors des évènements des 6 et 15 juin 2023. Cet état ne correspondrait toutefois pas à son état « normal » et ne refléterait pas son comportement habituel. Il met en avant les déclarations de plusieurs témoins, soit [...], concierge des bâtiments annexes à celui où il habite avec [...], qui a confirmé n’avoir jamais entendu parler de lui avant le 6 juin 2023 (PV aud. du 14 juin 2023), de [...], qui était présent au moment des faits le 6 juin 2023 et qui l’a décrit comme un « gentil gars » (PV aud. du 10 juillet 2023) et celles de son amie [...], qui a rappelé qu’il était le seul à l’avoir aidée, qu’il la protégeait de beaucoup de choses et que ce n’était pas quelqu’un de mauvais (PV aud. du 15 juin 2023). Il rappelle en outre que les personnes présentes avaient déclaré qu’il n’était pas dans son état normal et qu’il était sous l’emprise de l’alcool, ce qui a été confirmé par les tests médicaux. Il fait encore valoir que son casier judiciaire montre qu’il n’a été condamné qu’une seule fois, le 2 février 2018, pour des lésions corporelles simples, cas de peu de gravité, avec pour sanction une peine pécuniaire, ce qui montre qu’il n’a pas commis plusieurs infractions dont on pourrait craindre la réitération, mais une seule, de peu de gravité, qui remonte à plus de cinq ans.</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w:t>
      </w:r>
    </w:p>
    <w:p>
      <w:r>
        <w:rPr>
          <w:b/>
        </w:rPr>
        <w:t>E. 4.3</w:t>
      </w:r>
    </w:p>
    <w:p>
      <w:r>
        <w:t>En l’occurrence, X.________ a blessé trois personnes entre le 6 et le 15 juin 2023 dans des circonstances identiques. Comme l’a relevé le Ministère public, il paraît déconnecté de la réalité en indiquant que les personnes auxquelles il s’en est pris physiquement manquaient de respect à son amie, alors qu’en réalité il semble que celles-ci cherchaient à la protéger de lui. Par ailleurs, l’extrait de son casier judiciaire mentionne neuf condamnations entre le 9 mai 2016 et le 9 août 2022, parmi lesquelles figurent des condamnations pour lésions corporelles simples et menaces. En outre, il a été condamné à deux reprises pour conduite en état d’incapacité. Les témoignages mentionnés par X.________ à l’appui de son recours ne lui sont d’aucun secours. En effet, le concierge des immeubles de Coppet […] a assisté de loin à l’altercation et a déclaré que le prévenu avait crié sur [...], l’avait giclée avec de la bière et lui avait donné un coup. Si ce témoin a précisé qu’il ne connaissait pas le prévenu et ne l’avait jamais vu auparavant, cela ne signifie toutefois pas encore que l’intéressé ne présente pas de danger pour la sécurité publique. Il en va de même s’agissant des déclarations du témoin [...] qui a assisté à l’altercation du 6 juin 2023 et qui a déclaré qu’il avait entendu des éclats de voix provenant d’un homme qui faisait des reproches à une fille, qu’il l’avait vu jeter une canette de bière par terre et l’écraser, que le prévenu avait l’air alcoolisé mais qu’il avait l’air d’un « gentil gars ». Enfin, le témoignage de [...] est à prendre avec circonspection au vu de ses liens avec le prévenu. Au vu des éléments qui précèdent, il est sérieusement à craindre que le prévenu reproduise les mêmes agissements et s’en prenne violemment et sans aucun motif à des tiers, ce d’autant plus que les disputes entre lui et son amie semblent fréquentes. En liberté, il présenterait indéniablement un risque de mise en danger de la sécurité d’autrui. Le risque de réitération est ainsi patent.</w:t>
      </w:r>
    </w:p>
    <w:p>
      <w:r>
        <w:rPr>
          <w:b/>
        </w:rPr>
        <w:t>E. 5.1</w:t>
      </w:r>
    </w:p>
    <w:p>
      <w:r>
        <w:t>Le recourant conteste également l’existence d’un risque de fuite. Il rappelle qu’il n’a aucune attache à l’étranger, sous réserve de la présence de son frère en Italie, qu’il parle couramment le français, qu’il</w:t>
      </w:r>
    </w:p>
    <w:p>
      <w:r>
        <w:t>- 12 - travaille régulièrement en tant que livreur, et qu’il a toujours subvenu à ses besoins sans jamais faire appel à l’aide sociale. Il fait valoir que le fait d’avoir effectué des allers-retours entre la Suisse et l’Italie ne révèlerait pas un risque de fuite dans la mesure où il ressort clairement de la procédure que depuis le mois de novembre 2022, il s’est installé avec sa compagne à Coppet et qu’il s’est occupé d’elle après son opération et avant d’être incarcéré en janvier 2023. S’il n’a pas de titre de séjour valable en Suisse, il n’en demeure pas moins que le centre vital de ses intérêts et de ses attaches se trouvent bel et bien en Suisse. Il expose en outre avoir une adresse à Coppet, [...] où il peut être facilement retrouvé. Par ailleurs, démuni d’argent, il ne pourrait pas aller ailleurs en cas de fuite.</w:t>
      </w:r>
    </w:p>
    <w:p>
      <w:r>
        <w:rPr>
          <w:b/>
        </w:rPr>
        <w:t>E. 5.2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w:t>
      </w:r>
    </w:p>
    <w:p>
      <w:r>
        <w:rPr>
          <w:b/>
        </w:rPr>
        <w:t>E. 5.3</w:t>
      </w:r>
    </w:p>
    <w:p>
      <w:r>
        <w:t>En l’occurrence, le recourant est italien et ne dispose pas de titre de séjour en Suisse, son permis de séjour étant échu au 26 mai 2021. Il n’est pas inscrit dans sa commune de résidence. Il a par ailleurs déclaré effectuer des allers-retours entre la Suisse et l’Italie, son pays d’origine, où son frère résiderait et il dit avoir effectué un séjour de plusieurs années au Brésil où il est né et ou résideraient ses parents (PV aud. du 16 juin 2023 p. 3). Il n’a actuellement pas d’activité lucrative. Hormis son amie [...], il n’a pas de famille ni de proche en Suisse. Dans ces circonstances, il est sérieusement à craindre que le prévenu prenne la</w:t>
      </w:r>
    </w:p>
    <w:p>
      <w:r>
        <w:t>- 13 - fuite à l’étranger pour se soustraire aux poursuites pénales engagées contre lui, ce d’autant plus que le Ministère public a requis une peine privative de liberté de six mois à son encontre, sa réintégration pour exécuter un solde de peine de cinquante jours, et une mesure d’expulsion non obligatoire du territoire suisse pour une durée de cinq ans. Au vu des éléments qui précèdent, le risque de fuite est concret et la détention de X.________ se justifie pour assurer sa présence aux débats d’ores et déjà fixés au 17 octobre 2023 devant le Tribunal de police de l’arrondissement de La Côte.</w:t>
      </w:r>
    </w:p>
    <w:p>
      <w:r>
        <w:rPr>
          <w:b/>
        </w:rPr>
        <w:t>E. 6.1</w:t>
      </w:r>
    </w:p>
    <w:p>
      <w:r>
        <w:t>A supposer qu’il remplisse les conditions de la détention provisoire, le recourant propose plusieurs mesures de substitution en lieu et place de celle-ci, soit le dépôt de son passeport et de sa carte d’identité, une interdiction de quitter le territoire suisse et l’obligation de se rendre toutes les semaines, voire tous les deux ou trois jours au poste de gendarmerie de Coppet.</w:t>
      </w:r>
    </w:p>
    <w:p>
      <w:r>
        <w:rPr>
          <w:b/>
        </w:rPr>
        <w:t>E. 6.2.1</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(ATF 145 IV 503 consid. 3.3.1 ; TF 1B_383/2020 du 13 août 2020 consid. 5.1). En vertu de l'art. 237 al. 2 CPP, font notamment partie des mesures de substitution la fourniture de sûretés (let. a), la saisie des documents d'identité et autres documents officiels (let. b), l'assignation à</w:t>
      </w:r>
    </w:p>
    <w:p>
      <w:r>
        <w:t>- 14 -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Commentaire romand, Code de procédure pénale suisse, 2e éd., Bâle 2019, n. 2 ad art. 237 CPP).</w:t>
      </w:r>
    </w:p>
    <w:p>
      <w:r>
        <w:rPr>
          <w:b/>
        </w:rPr>
        <w:t>E. 6.2.2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6.3.1</w:t>
      </w:r>
    </w:p>
    <w:p>
      <w:r>
        <w:t>En l’espèce, outre le fait que les mesures de substitution proposées en relation avec le risque de fuite ne reposeraient que sur la bonne volonté du recourant de s’y soumettre, il est manifeste que celles-ci permettraient uniquement de constater « a posteriori » que le risque de fuite s’est concrétisé et non de le prévenir de manière efficace. En outre, on ne voit pas quelle mesure pourrait parer au risque de réitération. Le recourant n’en propose du reste pas et il n’existe aucune mesure susceptible d’atteindre le même but que la détention.</w:t>
      </w:r>
    </w:p>
    <w:p>
      <w:r>
        <w:t>- 15 -</w:t>
      </w:r>
    </w:p>
    <w:p>
      <w:r>
        <w:rPr>
          <w:b/>
        </w:rPr>
        <w:t>E. 6.3.2</w:t>
      </w:r>
    </w:p>
    <w:p>
      <w:r>
        <w:t>Comme on l’a vu, le recourant ne conteste pas les faits à proprement parler. Au chapitre de la proportionnalité, il revient cependant sur certains éléments et fait plaider qu’il n’y aurait pas de charges suffisantes s’agissant des infractions de violence ou menace contre les autorités et les fonctionnaires, de celle de menaces, voire de celle de lésions corporelles simples, ce qui commanderait le prononcé d’une peine d’une quotité inférieure à celle requise par le Ministère public, son placement en détention apparaissant alors disproportionné compte tenu de la peine prévisible. Or, contrairement au juge du fond, l’autorité appelée à statuer sur les mesures de contrainte ne doit pas procéder à une pesée minutieuse des éléments à charge et à décharge, ni procéder à une évaluation complète des divers moyens de preuve disponibles ; il lui incombe uniquement d’examiner si, sur la base des actes d’instruction accomplis, l’autorité pouvait admettre l’existence d’indices suffisants et concrets de la commission d’une infraction, ce qui est le cas en l’espèce (cf. consid. 3 supra). En l’occurrence, le prévenu est détenu depuis le 15 juin 2023, soit depuis moins de trois mois. Compte tenu des actes qui lui sont reprochés et de ses nombreux antécédents, la durée de la détention subie, même augmentée de la détention pour des motifs de sûreté, reste proportionnée, étant rappelé que le Ministère public requiert une peine privative de liberté de six mois et une expulsion du territoire suisse de cinq ans. Par ailleurs, les débats sont fixés au 17 octobre 2023 et une détention jusqu’au 24 octobre 2023 est adéquate pour permettre au Tribunal de police de rendre son jugement. Le principe de proportionnalité (art. 212 al. 3 CPP) est ainsi pleinement respecté.</w:t>
      </w:r>
    </w:p>
    <w:p>
      <w:r>
        <w:rPr>
          <w:b/>
        </w:rPr>
        <w:t>E. 7</w:t>
      </w:r>
    </w:p>
    <w:p>
      <w:r>
        <w:t>Au vu de ce qui précède, le recours, manifestement mal fondé, doit être rejeté sans échange d'écritures (art. 390 al. 2 CPP) et l'ordonnance du 17 août 2023 confirmée. Les frais de la procédure de recours, constitués en l'espèce de l'émolument d'arrêt, par 1’650 fr. (art. 20 al. 1 TFIP [tarif des frais de</w:t>
      </w:r>
    </w:p>
    <w:p>
      <w:r>
        <w:t>- 16 - procédure et indemnités en matière pénale du 28 septembre 2010 ; BLV 312.03.1]), et de l’indemnité due au défenseur d'office (art. 422 al. 1 et 2 let. a CPP), fixée à 360 fr. sur la base d’une durée d’activité nécessaire d’avocat alléguée de 2h00 au tarif horaire de 180 fr., auxquels il convient d’ajouter des débours forfaitaires à concurrence de 2 % (art. 3bis al. 1 RAJ [règlement sur l’assistance judiciaire en matière civile du 7 décembre 2010 ; BLV 211.02.3], applicable par renvoi de l’art. 26b TFIP), par 7 fr. 20, et la TVA, par 28 fr. 25, soit à 396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17 août 2023 est confirmée. III. L'indemnité allouée à Me Tamara Morgado, défenseur d'office de X.________, est fixée à 396 fr. (trois cent nonante-six francs). IV. Les frais d'arrêt, par 1’650 fr. (mille six cent cinquante francs), ainsi que l'indemnité allouée au défenseur d’office de X.________, par 396 fr. (trois cent nonante-six francs), sont mis à la charge de ce dernier. V. Le remboursement à l'Etat de l'indemnité allouée sous chiffre III ci-dessus ne sera exigible de X.________ que pour autant que sa situation financière le permette. VI. L’arrêt est exécutoire. La présidente : La greffière :</w:t>
      </w:r>
    </w:p>
    <w:p>
      <w:r>
        <w:t>- 17 - Du Le présent arrêt, dont la rédaction a été approuvée à huis clos, est notifié, par l'envoi d'une copie complète, à : - Me Tamara Morgado, avocate (pour X.________), - Ministère public central, et communiqué à : - M. le Procureur du Ministère public de l’arrondissement de La Côte, - Mme la Présidente du Tribunal des mesures de contrainte, - Mme la Présidente du Tribunal de police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