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PE23.010859 vom 30. Oktober 2024</w:t>
      </w:r>
    </w:p>
    <w:p>
      <w:r>
        <w:t>VD Tribunal cantonal, 2024-10-30, FR</w:t>
      </w:r>
    </w:p>
    <w:p>
      <w:r>
        <w:rPr>
          <w:b/>
        </w:rPr>
        <w:t xml:space="preserve">Quelle: </w:t>
      </w:r>
      <w:r>
        <w:t>https://mcp.opencaselaw.ch/entscheid/vd_gerichte_PE23.010859</w:t>
      </w:r>
    </w:p>
    <w:p>
      <w:r>
        <w:t>FR: VD_GERICHTE PE23.010859 du 30 octobre 2024</w:t>
      </w:r>
    </w:p>
    <w:p>
      <w:r>
        <w:t>IT: VD_GERICHTE PE23.010859 del 30 ottobre 2024</w:t>
      </w:r>
    </w:p>
    <w:p>
      <w:pPr>
        <w:pStyle w:val="Heading2"/>
      </w:pPr>
      <w:r>
        <w:t>Erwägungen</w:t>
      </w:r>
    </w:p>
    <w:p>
      <w:r>
        <w:rPr>
          <w:b/>
        </w:rPr>
        <w:t>E. 4.1</w:t>
      </w:r>
    </w:p>
    <w:p>
      <w:r>
        <w:t>La recourante invoque la violation du principe de célérité. Elle soutient que la procureure a été dans l’inaction totale du 10 mai 2024 (réception du dossier en retour de la Cour de céans par le Ministère public) au 5 septembre 2024 (date des auditions de R.________ et de B.________).</w:t>
      </w:r>
    </w:p>
    <w:p>
      <w:r>
        <w:rPr>
          <w:b/>
        </w:rPr>
        <w:t>E. 4.2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4.3</w:t>
      </w:r>
    </w:p>
    <w:p>
      <w:r>
        <w:t>En l’espèce, le Ministère public n’est pas demeuré inactif du 10 mai 2024 au 5 septembre 2024. Le 17 mai 2024, il a demandé au Tribunal des mesures de prolonger l’interdiction faite à la recourante de se rendre à son domicile pour une durée de deux mois. Celle-ci n’a pas recouru contre l’ordonnance du Tribunal des mesures de contrainte du 28 mai 2024, qui prolongeait pour deux mois l’interdiction qui lui était faite de se</w:t>
      </w:r>
    </w:p>
    <w:p>
      <w:r>
        <w:t>- 21 - rendre à son domicile. Ensuite, dans la mesure où la recourante avait elle- même informé le Ministère public, le 30 avril 2024, qu’elle avait soumis à la plaignante une proposition tendant à transformer son droit d’habitation en un droit d’usufruit, afin de pouvoir habiter ailleurs et louer son logement, le Ministère public a logiquement demandé aux parties, le 5 juillet 2024, où en étaient leurs transactions avant de solliciter une prolongation de la mesure de substitution. Le 10 juillet 2024, la recourante s’est plainte auprès du Ministère public du fait qu’il devait mener à terme son instruction avec célérité et lui a demandé de rendre un avis de prochaine clôture sans délai. Le 18 juillet 2024, le Ministère public a adressé au Tribunal des mesures de contrainte une demande de prolongation de la mesure de substitution pour une durée de trois mois. Le 19 juillet 2024, il a cité B.________ et R.________ à comparaître à ses audiences du 5 septembre 2024. Il est vrai qu’aucune mesure d’instruction en tant que telle n’a ainsi été effectuée entre le 10 mai 2024 et le 19 juillet 2024, mais cette durée d’un peu plus de deux mois n’apparaît pas choquante. Ensuite, le 24 juillet 2024, la recourante a téléphoné à la procureure pour lui reprocher d’avoir procédé à une demande de prolongation de la mesure de substitution et lui indiquer que l’hôtel à [...] où elle se trouvait ne pouvait plus l’accueillir. Au cours de cette conversation, la recourante s’est montrée très agitée, s’est énervée et a dit à la procureure qu’elle « ne comprenait vraiment rien », en utilisant un ton et des propos déplacés (procès-verbal des opérations, p. 13). Dans ces conditions, la procureure a, le 25 juillet 2024, demandé au Centre d’expertises psychiatriques qu’il lui communique le nom d’un expert qui serait chargé de procéder à une expertise psychiatrique sur la personne de la prévenue. Le 30 juillet 2024, le Tribunal des mesures de contrainte a rendu une ordonnance qui prolongeait de deux mois l’interdiction qui était faite à la recourante de se rendre à son domicile. Le 12 août 2024, la procureure a soumis aux parties les questions qu’elle entendait poser aux experts et leur a imparti un délai au 2 septembre 2024 pour se déterminer. La plaignante et la recourante ont répondu respectivement les</w:t>
      </w:r>
    </w:p>
    <w:p>
      <w:r>
        <w:t>- 22 - 21 août 2024 et 30 août 2024. Enfin, le prévenu B.________ et le témoin R.________ ont été entendus le 5 septembre 2024. Vu le déroulement de la procédure tel que décrit ci-dessus, il n’y a aucune violation du principe de célérité. En outre, et a fortiori, il n’existe aucun manquement grave faisant apparaître que l’autorité ne serait plus en mesure de mener la procédure à chef dans un délai raisonnable, comme le prévoit la jurisprudence rendue en matière de détention provisoire. 5. 5.1 Conformément au principe de la proportionnalité (art. 36 al. 3 Cst. [Constitution fédérale de la Confédération suisse du 18 avril 1999 ; RS 101]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 (let. a) la fourniture de sûretés, (let. b) la saisie des documents d'identité, (let. c) l'assignation à résidence ou l'interdiction de se rendre dans un certain lieu ou un certain immeuble, (let. d) l'obligation de se présenter régulièrement à un service administratif, (let. e) l'obligation d'avoir un travail régulier, (let. f) l'obligation de se soumettre à un traitement médical ou à des contrôles et (let. g) l'interdiction d'entretenir des relations avec certaines personnes. Cette liste est exemplative et le juge de la détention peut également, le cas échéant, assortir les mesures de substitution de toute condition propre à en garantir l'efficacité (ATF 145 IV 503 consid. 3.1). 5.2 La recourante a conclu subsidiairement à des mesures de substitution moins intrusives. Quand bien même un acte de recours ne peut renvoyer, à titre de motivation, à une précédente écriture produite</w:t>
      </w:r>
    </w:p>
    <w:p>
      <w:r>
        <w:t>- 23 - devant une autre autorité (TF 7B_587/2023 du 11 septembre 2024 consid. 2.2.1 ; CREP 3 octobre 2024/695 ; CREP 6 août 2024/566), il y a lieu d’examiner d’office si ces mesures sont admissibles et suffisantes. En l’espèce, il y a lieu de constater que, depuis qu’elle a été relaxée, la recourante s’est conformée aux deux mesures de substitution ordonnées jusqu’au 29 mai 2024 (soit l’interdiction de se rendre à son domicile et l’obligation de séjourner de manière continue auprès de [...]), puis à la seule mesure de substitution ordonnée jusqu’à ce jour (soit l’interdiction de se rendre à son domicile). Dans l’espoir que la recourante comprenne qu’elle doit pacifier sa cohabitation avec les propriétaires de son logement – notamment ne pas adopter un ton et des propos déplacés comme elle l’a déjà fait deux fois à l’encontre de la procureure –, il convient de l’autoriser à réintégrer son domicile, au bénéfice des deux mesures de substitution suivantes : 1. interdiction lui est faite de s’adresser directement ou indirectement, par la parole, le geste ou d’une quelconque autre manière, à A.________, à B.________ et à leurs enfants, ou d’interagir avec eux, sauf par l’intermédiaire de son avocate ou à la demande des autorités ; 2. interdiction lui est faite de se rendre au sous- sol de son immeuble où se trouve sa cave et sa buanderie et d'emprunter le passage commun sis au sud de l'immeuble ainsi que sa porte d'entrée principale, de sorte qu'elle devra utiliser un service de blanchisserie/pressing (incluant ramassage et lavage) pour laver son linge et continuer de passer exclusivement par sa véranda. Ces mesures de substitution seront prononcées pour une période de trois mois, soit jusqu’au 26 décembre 2024. Enfin, comme exposé par le Ministère public, le versement du montant de 20'000 fr. n’est pas nécessaire puisqu’il ne viserait qu’à prévenir le risque de fuite, lequel n’a pas été retenu. La recourante est formellement rendue attentive au fait que si elle transgresse l’une ou l’autre voire les deux mesures de substitution précitées, le Tribunal des mesures de contrainte pourra en tout temps révoquer celles-ci, en ordonner d’autres ou prononcer la détention provisoire (art. 237 al. 5 CPP).</w:t>
      </w:r>
    </w:p>
    <w:p>
      <w:r>
        <w:t>- 24 -</w:t>
      </w:r>
    </w:p>
    <w:p>
      <w:r>
        <w:rPr>
          <w:b/>
        </w:rPr>
        <w:t>E. 6</w:t>
      </w:r>
    </w:p>
    <w:p>
      <w:r>
        <w:t>Enfin, la recourante soutient que les conditions à la radiation de son droit d’habitation (placement en EMS, constitution d’un nouveau domicile ou décès) ne sont pas réalisées. Dans la mesure où les autorités pénales ne sont pas compétentes concernant le droit d’habitation de la recourante et que, de surcroît, le Tribunal des mesures de contrainte ne fait aucune mention d’un éventuel retrait de ce droit d’habitation dans sa motivation, le grief de la recourante est irrecevable.</w:t>
      </w:r>
    </w:p>
    <w:p>
      <w:r>
        <w:rPr>
          <w:b/>
        </w:rPr>
        <w:t>E. 7</w:t>
      </w:r>
    </w:p>
    <w:p>
      <w:r>
        <w:t>Il résulte de ce qui précède que le recours doit être partiellement admis et l’ordonnance entreprise réformée aux chiffres II, III et IV de son dispositif dans le sens des considérants qui précèdent. Elle sera confirmée pour le surplus, soit en particulier en son chiffre I qui pose que les conditions légales de la détention provisoire sont réalisées. Les frais de la procédure de recours, par 2'530 fr. (art. 20 al. 1 TFIP [tarif des frais de procédure et indemnités en matière pénale du 28 septembre 2010 ; BLV 312.03.1]), seront mis par moitié, soit par 1'265 fr., à la charge de X.________, qui succombe partiellement (art. 428 al. 1 CPP), le solde étant laissé à la charge de l’Etat (art. 423 CPP). Me Vanessa Simioni, avocate de choix de la recourante, a droit à une indemnité pour les dépenses occasionnées par l’exercice raisonnable de ses droits pour la procédure de recours. Au vu du travail accompli, il sera retenu 4 heures d’activité nécessaire. Toutefois, par parallélisme avec les frais, ce montant sera réduit de moitié. Au tarif horaire de 300 fr. (art. 26a al. 3 TFIP), le défraiement s’élève ainsi à 600 fr., auquel il faut ajouter 2 % pour les débours (art. 19 al. 2 TDC [tarif des dépens en matière civile du 23 novembre 2010 ; BLV 270.11.6] par renvoi de l’art. 26a al. 6 TFIP), soit 12 fr., et 8,1 % de TVA sur le tout, soit 49 fr. 57, de sorte que l’indemnité s’élève au total à 662 fr. en chiffres ronds. Cette indemnité sera laissée à la charge de l’Etat (art. 423 CPP).</w:t>
      </w:r>
    </w:p>
    <w:p>
      <w:r>
        <w:t>- 25 - Par ces motifs, la Chambre des recours pénale prononce : I. Le recours est partiellement admis. II. L’ordonnance est réformée aux chiffres II, III et IV de son dispositif comme il suit : « II. Ordonne, en lieu et place de la détention provisoire, les mesures de substitution suivantes : 1. Interdiction est faite à X.________ de s’adresser directement ou indirectement, par la parole, le geste ou d’une quelconque autre manière, à A.________, à B.________ et à leurs enfants, ou d’interagir avec eux, sauf par l’intermédiaire de son avocate ou à la demande des autorités ; 2. Interdiction est faite à X.________ de se rendre au sous- sol de son immeuble où se trouve sa cave et sa buanderie et d'emprunter le passage commun sis au sud de l'immeuble ainsi que sa porte d'entrée principale, de sorte qu'elle devra utiliser un service de blanchisserie/pressing (incluant ramassage et lavage) pour laver son linge et continuer de passer exclusivement par sa véranda. III. Supprimé. IV. Fixe la durée maximale des mesures de substitution mentionnées sous chiffre II ci-dessus à 3 (trois) mois, soit jusqu’au 26 décembre 2024. » L’ordonnance est confirmée pour le surplus. III. Les frais d’arrêt, par 2'530 fr. (deux mille cinq cent trente francs), sont mis par moitié, soit par 1'265 fr. (mille deux cent</w:t>
      </w:r>
    </w:p>
    <w:p>
      <w:r>
        <w:t>- 26 - soixante-cinq francs), à la charge de X.________, le solde étant laissé à la charge de l’Etat. IV. Une indemnité réduite de 662 fr. (six cent soixante-deux francs) est allouée à X.________ pour les dépenses occasionnées par l’exercice raisonnable de ses droits pour la procédure de recours, à la charge de l'Etat. V. L’arrêt est exécutoire. Le président : La greffière : Du Le présent arrêt, dont la rédaction a été approuvée à huis clos, est notifié, par l'envoi d'une copie complète, à : - Mme X.________, - Me Vanessa Simioni, avocate (pour X.________), - Ministère public central, et communiqué à : - Mme la Présidente du Tribunal des mesures de contrainte, - Mme la Procureure de l’arrondissement de La Côte, par l’envoi de photocopies. En application de l’art. 214 al. 4 CPP, le dispositif du présent arrêt est communiqué par courrier séparé à la victime suivante : - Me Jean-Lou Maury, avocat (pour A.________),</w:t>
      </w:r>
    </w:p>
    <w:p>
      <w:r>
        <w:t>- 27 -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