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PE23.010816 vom 4. Januar 2024</w:t>
      </w:r>
    </w:p>
    <w:p>
      <w:r>
        <w:t>VD Tribunal cantonal, 2024-01-04, FR</w:t>
      </w:r>
    </w:p>
    <w:p>
      <w:r>
        <w:rPr>
          <w:b/>
        </w:rPr>
        <w:t xml:space="preserve">Quelle: </w:t>
      </w:r>
      <w:r>
        <w:t>https://mcp.opencaselaw.ch/entscheid/vd_gerichte_PE23.010816</w:t>
      </w:r>
    </w:p>
    <w:p>
      <w:r>
        <w:t>FR: VD_GERICHTE PE23.010816 du 4 janvier 2024</w:t>
      </w:r>
    </w:p>
    <w:p>
      <w:r>
        <w:t>IT: VD_GERICHTE PE23.010816 del 4 gennaio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est recevable.</w:t>
      </w:r>
    </w:p>
    <w:p>
      <w:r>
        <w:rPr>
          <w:b/>
        </w:rPr>
        <w:t>E. 2.1</w:t>
      </w:r>
    </w:p>
    <w:p>
      <w:r>
        <w:t>La recourante soutient que Me T.________, sur mandat d’A.________, s’est rendu coupable de tentative de contrainte au sens de l’art. 181 cum 22 CP (Code pénal du 21 décembre 1937 ; RS 311.0) pour lui avoir réclamé des montants, pour certains astronomiques, qui n’étaient pas dus contractuellement et de lui avoir fait notifier un commandement de payer pour une somme de 553'578 fr., manifestement dans le but d’impressionner ses dirigeants afin d’obtenir de leur part une attitude plus conciliante dans le cadre de négociations contractuelles. La recourante estime qu’en procédant de la sorte, Me T.________ aurait fait usage de moyens de pression abusifs, alors qu’elle lui avait proposé de renoncer à invoquer la prescription.</w:t>
      </w:r>
    </w:p>
    <w:p>
      <w:r>
        <w:rPr>
          <w:b/>
        </w:rPr>
        <w:t>E. 2.2.1</w:t>
      </w:r>
    </w:p>
    <w:p>
      <w:r>
        <w:t>Conformément à l’art. 310 al. 1 CPP, le ministère public rend immédiatement une ordonnance de non-entrée en matière s’il ressort de la dénonciation ou du rapport de police que les éléments constitutifs de</w:t>
      </w:r>
    </w:p>
    <w:p>
      <w:r>
        <w:t>- 6 -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conformément à l'adage in dubio pro duriore. Celui-ci découle du principe de la légalité (art. 5 al. 1 Cst. et art. 2 al. 2 CPP en relation avec les art. 319 al. 1 et 324 al. 1 CPP; ATF 138 IV 86 consid. 4.)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 TF 7B_27/2023 du 12 septembre 2023 consid. 3.2 ; TF 6B_933/2021 du 21 février 2022 consid. 2.1).</w:t>
      </w:r>
    </w:p>
    <w:p>
      <w:r>
        <w:rPr>
          <w:b/>
        </w:rPr>
        <w:t>E. 2.2.2</w:t>
      </w:r>
    </w:p>
    <w:p>
      <w:r>
        <w:t>Conformément à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w:t>
      </w:r>
    </w:p>
    <w:p>
      <w:r>
        <w:t>- 7 - 137 IV 326 consid. 3.3.1; ATF 134 IV 216 consid. 4.1 ; TF 6B_598/2022 du 9 mars 2023 consid. 2.1.2).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références citées; TF 6B_1272/2021 du 28 avril 2022 consid. 2.1.2 ; TF 6B_974/2018 du 20 décembre 2018 consid. 3.1).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6B_1116/2021 du 22 juin 2022 consid. 2.1 ; TF 6B_1082/2021 du 18 mars 2022 consid. 2.1). Certes, faire notifier un commandement de payer lorsqu'on est fondé à réclamer une somme est licite. En revanche, utiliser un tel procédé comme moyen de pression est clairement abusif, donc illicite (cf. ATF 115 III 18 consid. 3; TF 6B_1116/2021 précité consid. 2.1).</w:t>
      </w:r>
    </w:p>
    <w:p>
      <w:r>
        <w:rPr>
          <w:b/>
        </w:rPr>
        <w:t>E. 2.3</w:t>
      </w:r>
    </w:p>
    <w:p>
      <w:r>
        <w:t>En l’espèce, dans son recours, la recourante se réfère en particulier au courrier que Me T.________ lui a adressé le 19 janvier 2023 (P. A03 2/4), dans lequel, selon elle, ce dernier invoque pour sa cliente un préjudice potentiel futur de 480 millions sur 10 ans, un manque à gagner</w:t>
      </w:r>
    </w:p>
    <w:p>
      <w:r>
        <w:t>- 8 - de 2.4 millions et le paiement de quatre factures impayées pour un montant total de 1'486'760 fr. 80 (P. A07). Or, la poursuite porterait « uniquement » sur un montant réduit de 553'578 francs. On comprend que, selon la recourante, la contrainte résiderait dans la différence significative entre les sommes ressortant des échanges de courriers précédant la réquisition de poursuite et celles réclamées dans le commandement de payer. Cela étant, cette argumentation ne peut être suivie dans la mesure où elle relève d’une lecture tronquée de la lettre du 19 janvier 2023. En effet, il ressort de cette lettre que seul un montant de 1'486'760 fr. 80 faisait l’objet d’une sommation de payer et était soumise à un ultime délai de 10 jours pour solder les quatre factures établies le 14 décembre 2022. Contrairement à ce que suggère la recourante, la sommation de payer ne portait donc pas sur un montant de 480 millions. Cette somme servait simplement de base de calcul pour déterminer le prétendu manque à gagner de 2.4 millions, montant qui n’a pas non plus fait l’objet d’une sommation de payer. En outre, il ressort du courrier du 14 décembre 2022 (cf. supra let. A) qu’une des quatre factures à payer porte sur le paiement de prestations de communication fournies par A.________ et s’élève à 553'578 fr., et que c’est ce montant qui a fait l’objet d’une poursuite. Contrairement à ce que suggère la recourante, il n’y a rien de surprenant dans le fait qu’A.________ ait pris la décision d’introduire une poursuite pour ce montant uniquement et rien ne l’empêchait d’agir ainsi. On ne peut donc pas retenir que l’introduction d’une poursuite pour une somme inférieure aux montants précédemment évoqués lors d’échanges de courriers soit constitutive d’une tentative de contrainte. Il n’est en outre pas exclu, compte tenu de ladite facture, que le montant réclamé soit dû. De plus, on ne voit pas en quoi la lettre du 19 janvier 2023 de laquelle ressortait la sommation de payer serait de nature à effrayer l’administrateur d’une société à l’évidence rompu aux affaires. D’ailleurs, dans une lettre du 31 janvier 2023 (A04 1/2), N.________ a contesté l’ensemble des prétentions dont se prévalait A.________ en déclarant que ces dernières relevaient de la « pure fantaisie » et constituaient une</w:t>
      </w:r>
    </w:p>
    <w:p>
      <w:r>
        <w:t>- 9 - « tentative de contrainte ». Ensuite, dans une lettre du 14 mars 2023 (A05 3/3), N.________ a expressément déclaré ne pas avoir peur des affirmations fantaisistes d’A.________ et entièrement contestées par la recourante. N.________ affirmait qu’à défaut d’un accord réglant la fin de ses rapports contractuels avec la recourante, cette dernière agirait par la voie civile et/ou pénale. Force est ainsi de constater que la recourante, à tout le moins son administrateur avec signature individuelle, ne s’est pas senti intimidé par le montant des prétentions articulées dans la lettre du 19 janvier 2023. Conformément à la jurisprudence précitée, cette lettre n’était pas propre à entraver la recourante d’une manière substantielle sans sa liberté d’action, étant précisé que cette dernière ne saurait être considérée comme une personne de sensibilité moyenne. Il s’agit en effet d’une société anonyme qui traite des affaires d’une certaine importance, voire d’une très grande importance, comme en témoigne le présent litige qui porte sur le développement d’une centrale de production d’électricité d’origine solaire sur une bordure d’autoroute. En ce qui concerne le commandement de payer litigieux, la recourante n’allègue pas que son montant serait disproportionné. Selon elle, la contrainte résiderait dans le fait que Me T.________ a introduit une poursuite, alors qu’elle lui avait proposé de renoncer à la prescription. La recourante ne peut être suivie dans la mesure où la lettre du 31 janvier 2023 (P. A04 1/2) adressée à Me T.________ ne contient pas une proposition de renoncer à la prescription inconditionnellement. Bien au contraire, il ressort de cette lettre que les conditions exactes d’une telle renonciation devaient être convenues avec leurs avocats respectifs. Dans ces circonstances, on peut admettre que Me T.________ disposait d’une raison suffisante pour introduire une poursuite s’il l’estimait nécessaire pour préserver les droits de sa mandante. Du reste, rien n’empêche un potentiel créancier d’agir par la voie de la poursuite et ce même si le débiteur a offert de renoncer à la prescription. Pour le surplus et contrairement à ce que suggère la recourante, on ne voit pas en quoi le fait d’attendre avant d’ouvrir une action tendant à la mainlevée de l’opposition à un commandement de</w:t>
      </w:r>
    </w:p>
    <w:p>
      <w:r>
        <w:t>- 10 - payer constituerait un élément permettant d’en déduire l’existence d’une tentative de contrainte. Compte tenu de ce qui précède, A.________ ou O.________ SA, respectivement leur mandataire, n’ont pas fait usage d’un moyen de contrainte illicite en soulevant des prétentions pécuniaires dans le cadre des courriers adressés à F.________ SA ou en lui notifiant le commandement de payer litigieux. L’usage de tels procédés, destinés à une société anonyme rompue en affaires, n’était pas non plus disproportionné vu l’ampleur apparente du projet liant les parties et des rapports contractuels les unissant. C’est donc à juste titre que le Ministère public a considéré que le litige relevait de la justice civile et qu’il a refusé d’entrer en matière.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de non-entrée en matière du 28 juillet 2023 est confirmée. III. Les frais d’arrêt, par 1’100 fr. (mille cent francs), sont mis à la charge de F.________ SA.</w:t>
      </w:r>
    </w:p>
    <w:p>
      <w:r>
        <w:t>- 11 - IV. L’arrêt est exécutoire. La juge présidant : La greffière : Du Le présent arrêt, dont la rédaction a été approuvée à huis clos, est notifié, par l'envoi d'une copie complète, à : - Me J. C. Schweizer, avocat (pour F.________ SA), - Ministère public central, et communiqué à : - M. le Procureur de l’arrondissement du Nord vaudois, - Me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