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PE23.010383 vom 12. Juni 2023</w:t>
      </w:r>
    </w:p>
    <w:p>
      <w:r>
        <w:t>VD Tribunal cantonal, 2023-06-12, FR</w:t>
      </w:r>
    </w:p>
    <w:p>
      <w:r>
        <w:rPr>
          <w:b/>
        </w:rPr>
        <w:t xml:space="preserve">Quelle: </w:t>
      </w:r>
      <w:r>
        <w:t>https://mcp.opencaselaw.ch/entscheid/vd_gerichte_PE23.010383</w:t>
      </w:r>
    </w:p>
    <w:p>
      <w:r>
        <w:t>FR: VD_GERICHTE PE23.010383 du 12 juin 2023</w:t>
      </w:r>
    </w:p>
    <w:p>
      <w:r>
        <w:t>IT: VD_GERICHTE PE23.010383 del 12 giugno 2023</w:t>
      </w:r>
    </w:p>
    <w:p>
      <w:pPr>
        <w:pStyle w:val="Heading2"/>
      </w:pPr>
      <w:r>
        <w:t>Erwägungen</w:t>
      </w:r>
    </w:p>
    <w:p>
      <w:r>
        <w:rPr>
          <w:b/>
        </w:rPr>
        <w:t>E. 1</w:t>
      </w:r>
    </w:p>
    <w:p>
      <w:r>
        <w:t>Interjeté dans le délai légal (art. 396 al. 1 CPP [Code de procédure pénale suisse du 5 octobre 2007 ; RS 312.0]) contre une</w:t>
      </w:r>
    </w:p>
    <w:p>
      <w:r>
        <w:t>- 4 - décision du Tribunal des mesures de contrainte dans un cas prévu par le CPP (art. 393 al. 1 let. c CPP), par le prévenu détenu qui a qualité pour recourir (art. 222 et 382 al. 1 CPP) et dans les formes prescrites (art. 385 al. 1 CPP), le recours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w:t>
      </w:r>
    </w:p>
    <w:p>
      <w:r>
        <w:rPr>
          <w:b/>
        </w:rPr>
        <w:t>E. 3.1</w:t>
      </w:r>
    </w:p>
    <w:p>
      <w:r>
        <w:t>Contestant l’ensemble des faits incriminés, le recourant fait d’abord valoir qu’il n’existe pas de soupçons suffisants à son encontre. Il soutient que, contrairement à ce qui ressortirait de l’ordonnance, il ne serait pas en couple avec la victime présumée, pas plus qu’il ne serait à l’origine des multiples blessures constatées par les médecins du CURML sur la personne de cette dernière. Il ajoute que, compte tenu de la consommation excessive d’alcool et de médicaments présentée par la plaignante, les blessures incriminées seraient compatibles avec une ou des chutes consécutives à la consommation excessive d’alcool et de médicaments. Il n’y aurait donc en réalité, toujours selon lui, aucun indice concret à sa charge susceptible de fonder de graves soupçons de culpabilité.</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2e éd., Bâle 2019</w:t>
      </w:r>
    </w:p>
    <w:p>
      <w:r>
        <w:t>- 5 -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ATF 143 IV 316 consid. 3.1 et 3.2 ; TF 1B_88/2022 du 29 mars 2022 consid. 2.1;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du 24 janvier 2020 consid. 3.1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 Wiprächtiger [éd.], Basler Kommentar, Schweizerische Strafprozessordnung, 2e éd., Bâle 2014, n. 3 ad art. 221 CPP).</w:t>
      </w:r>
    </w:p>
    <w:p>
      <w:r>
        <w:rPr>
          <w:b/>
        </w:rPr>
        <w:t>E. 3.3</w:t>
      </w:r>
    </w:p>
    <w:p>
      <w:r>
        <w:t>En l’espèce, l’instruction a été ouverte le 2 juin 2023, soit il y a un peu plus d’une semaine seulement. A un stade aussi précoce de la procédure, la Chambre de céans ne saurait donc, en sa qualité de juge de la détention, se montrer trop rigoureuse dans l’examen des motifs de détention retenus par le Tribunal des mesures de contrainte. En premier lieu, s’agissant des charges, il est vrai que le premier juge s’est</w:t>
      </w:r>
    </w:p>
    <w:p>
      <w:r>
        <w:t>- 6 - principalement fondé sur les déclarations de la victime, contestées par le recourant. Pour autant, cette version des faits se révèle cohérente et crédible, d’autant plus qu’elle est corroborée par les constatations du CURML, dûment retranscrites au procès-verbal des opérations au vu des informations directement transmises par la médecin légiste à la procureure le 2 juin 2023 à 13 h 30 (note du même jour, PV, pp. 3-4). À cet égard, les photographies figurant au dossier (P. 4) sont assez éloquentes pour ce qui est des blessures présentées par la victime, même si certaines d’entre elles, manifestement plus anciennes, ne peuvent être imputées au recourant. En outre, le recourant a des antécédents pénaux récents, s’agissant notamment d’une condamnation prononcée le 16 juillet 2021 par le Tribunal correctionnel de l’arrondissement de l'Est vaudois pour pornographie, soit diffusion de pornographie à une personne de moins de 16 ans (art. 197 al. 1 CP), à raison d’actes perpétrés d’août 2014 à juin 2016. Cet antécédent donne également un certain crédit aux allégations de la victime portant sur des actes d’ordre sexuel non consentis à son préjudice. C’est donc à juste titre que le Tribunal des mesures de contrainte a admis la réalisation de la condition des graves soupçons de culpabilité à ce stade de la procédure. La première condition posée par l’art. 221 al. 1 CPP apparaît ainsi réalisée.</w:t>
      </w:r>
    </w:p>
    <w:p>
      <w:r>
        <w:rPr>
          <w:b/>
        </w:rPr>
        <w:t>E. 4.1</w:t>
      </w:r>
    </w:p>
    <w:p>
      <w:r>
        <w:t>Le recourant conteste ensuite le risque de collusion. Il considère que l’existence de ce risque aurait été admise uniquement à titre théorique par le premier juge, la victime ayant d’ores et déjà été entendue par la police et n’ayant pas d’adresse fixe. Il en déduit qu’il n’aurait aucun moyen de la contacter, celle-ci n’ayant pas de téléphone portable. Le recourant serait ainsi concrètement dans l’impossibilité de faire pression sur la plaignante. Quant à d’éventuels proches de la victime supposée, rien ne permettrait d’admettre qu’ils existeraient et le Ministère public n’aurait d’ailleurs pas apporté une quelconque précision sur ce point. S’agissant des autres risques, le recourant s’est limité à se référer à ses déterminations du 2 juin 2023.</w:t>
      </w:r>
    </w:p>
    <w:p>
      <w:r>
        <w:t>- 7 -</w:t>
      </w:r>
    </w:p>
    <w:p>
      <w:r>
        <w:rPr>
          <w:b/>
        </w:rPr>
        <w:t>E. 4.2</w:t>
      </w:r>
    </w:p>
    <w:p>
      <w:r>
        <w:t>; ATF 132 I 21 consid. 3.2 ; TF 1B_210/2023 du 12 mai 2023 consid. 4.1).</w:t>
      </w:r>
    </w:p>
    <w:p>
      <w:r>
        <w:rPr>
          <w:b/>
        </w:rPr>
        <w:t>E. 4.3</w:t>
      </w:r>
    </w:p>
    <w:p>
      <w:r>
        <w:t>En l’espèce, il est évident, à ce stade très précoce de l’enquête, qu’il faut éviter toute interférence du prévenu sur les premières investigations de l’autorité de poursuite pénale, notamment avec la plaignante et également à l’égard d’éventuels témoins. À ce stade, on ne</w:t>
      </w:r>
    </w:p>
    <w:p>
      <w:r>
        <w:t>- 8 - saurait reprocher au Ministère public de ne pas encore être en mesure de communiquer l’identité de personnes dont l’audition pourrait être utile à l’établissement des faits. Comme l’a justement relevé la procureure dans sa demande de mise en détention du 2 juin 2023, il conviendra d’analyser les résultats de l’extraction du téléphone cellulaire du prévenu et il est probable que cette mesure d’instruction permette d’identifier ses contacts et de procéder à des auditions complémentaires.</w:t>
      </w:r>
    </w:p>
    <w:p>
      <w:r>
        <w:rPr>
          <w:b/>
        </w:rPr>
        <w:t>E. 4.4</w:t>
      </w:r>
    </w:p>
    <w:p>
      <w:r>
        <w:t>Les hypothèses prévues par l'art. 221 al. 1 CPP étant alternatives et non cumulatives (TF 1B_134/2023 du 5 avril 2023 consid. 4.4; TF 1B_160/2018 du 19 avril 2018 consid. 3.3; Chaix, in : CR CPP, n. 2 ad art. 221 CPP), il n’est pas utile de statuer sur les risques de fuite et de réitération, également invoqués par le Ministère public, mais que le Tribunal des mesures de contrainte a renoncé à aborder. De toute manière, le recourant s’est contenté, pour toute motivation, de renvoyer à ses déterminations déposées devant le Tribunal des mesures de contrainte le 2 juin 2023, ce qui n’est pas admissible au regard des exigences de motivation du recours découlant de l’art. 385 al. 1 CPP.</w:t>
      </w:r>
    </w:p>
    <w:p>
      <w:r>
        <w:rPr>
          <w:b/>
        </w:rPr>
        <w:t>E. 5</w:t>
      </w:r>
    </w:p>
    <w:p>
      <w:r>
        <w:t>Enfin, le recourant ne remet pas en cause l’appréciation du premier juge selon laquelle aucune mesure de substitution (cf. l’art. 237 CPP) ne permet de pallier le risque de collusion retenu, vu l’intensité de ce péril. Il ne soutient pas non plus que la durée de la détention provisoire ordonnée, d’un mois, contreviendrait au principe de la proportionnalité. A cet égard, même si la cognition de l’autorité de recours est limitée aux moyens soulevés, il peut être constaté d’office que la détention provisoire, subie respectivement à subir jusqu’au 30 juin 2023, ne contrevient pas à la proportionnalité au regard de la peine privative de liberté susceptible d’être prononcée au regard des infractions considérées (art. 212 al. 3 CPP).</w:t>
      </w:r>
    </w:p>
    <w:p>
      <w:r>
        <w:rPr>
          <w:b/>
        </w:rPr>
        <w:t>E. 6</w:t>
      </w:r>
    </w:p>
    <w:p>
      <w:r>
        <w:t>Il résulte de ce qui précède que le recours, manifestement mal fondé, doit être rejeté, sans échange d’écritures (art. 390 al. 2 CPP), et l’ordonnance du 3 juin 2023 confirmée.</w:t>
      </w:r>
    </w:p>
    <w:p>
      <w:r>
        <w:t>- 9 - Les frais de la procédure de recours, par 990 fr. (art. 20 al. 1 TFIP [tarif des frais de procédure et indemnités en matière pénale du 28 septembre 2010 ; BLV 312.03.1]), ainsi que les frais imputables à la défense d’office (art. 422 al. 1 et 2 let. a CPP), fixés à 495 fr. en chiffres arrondis, qui comprennent des honoraires par 450 fr., pour deux heures et 30 minutes d’activité nécessaire d’avocat, au tarif horaire de 180 fr., des débours forfaitaires par 9 fr. (cf. art. 26b TFIP qui renvoie à l'art. 3bis RAJ [règlement sur l’assistance judiciaire en matière civile du 7 décembre 2010 ; BLV 211.02.3]) et la TVA sur le tout, au taux de 7,7%, par 35 fr. 35,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3 juin 2023 est confirmée. III. L’indemnité allouée au défenseur d’office de D.________ est fixée à 495 fr. (quatre cent nonante-cinq francs). IV. Les frais d’arrêt, par 990 fr. (neuf cent nonante francs), ainsi que l’indemnité due au défenseur d’office de D.________, par 495 fr. (quatre cent nonante-cinq francs), sont mis à la charge de ce dernier.</w:t>
      </w:r>
    </w:p>
    <w:p>
      <w:r>
        <w:t>- 10 - V. Le remboursement à l'Etat de l'indemnité allouée au chiffre III ci-dessus ne sera exigible que pour autant que la situation financière de D.________ le permette. VI. L’arrêt est exécutoire. Le vice-président : Le greffier : Du Le présent arrêt, dont la rédaction a été approuvée à huis clos, est notifié, par l'envoi d'une copie complète, à : - Me Romain Rochani, avocat (pour D.________),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- 11 -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