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PE23.010292 vom 11. August 2023</w:t>
      </w:r>
    </w:p>
    <w:p>
      <w:r>
        <w:t>VD Tribunal cantonal, 2023-08-11, FR</w:t>
      </w:r>
    </w:p>
    <w:p>
      <w:r>
        <w:rPr>
          <w:b/>
        </w:rPr>
        <w:t xml:space="preserve">Quelle: </w:t>
      </w:r>
      <w:r>
        <w:t>https://mcp.opencaselaw.ch/entscheid/vd_gerichte_PE23.010292</w:t>
      </w:r>
    </w:p>
    <w:p>
      <w:r>
        <w:t>FR: VD_GERICHTE PE23.010292 du 11 août 2023</w:t>
      </w:r>
    </w:p>
    <w:p>
      <w:r>
        <w:t>IT: VD_GERICHTE PE23.010292 del 11 agosto 2023</w:t>
      </w:r>
    </w:p>
    <w:p>
      <w:pPr>
        <w:pStyle w:val="Heading2"/>
      </w:pPr>
      <w:r>
        <w:t>Volltext</w:t>
      </w:r>
    </w:p>
    <w:p>
      <w:r>
        <w:t>TRIBUNAL CANTONAL 443 PE23.010292-LRC CO UR D’APPEL PENALE ______________________________ Séance du 22 septembre 2023 _____________________ Composition : M. WINZAP, président Greffier : M. Serex ***** Parties à la présente cause : MINISTERE PUBLIC, représenté par la Procureure du Ministère public central, division affaires spéciales, appelant, et B.________, prévenu et intimé. 655</w:t>
      </w:r>
    </w:p>
    <w:p>
      <w:r>
        <w:t>- 2 - Le Président de la Cour d’appel pénale prend séance à huis clos pour statuer sur l’appel formé par le Ministère public central, divisions affaires spéciales (ci-après : Ministère public), contre le jugement rendu le 11 août 2023 par le Tribunal de police de l’arrondissement de l’Est vaudois dans la cause dirigé contre B.________. Il considère : En fait : A. Par jugement du 11 août 2023, le Tribunal de police de l’arrondissement de l’Est vaudois a libéré B.________ du chef de violation simple des règles de la circulation routière (I) et a laissé les frais de la cause à la charge de l’Etat (II). B. Par déclaration du 13 septembre 2023, le Ministère public a interjeté appel contre ce jugement et conclu à sa réforme, en ce sens que B.________ est reconnu coupable de violation simple des règles de la circulation, qu’il est condamné à une amende de 300 fr., convertible en 3 jours de peine privative de liberté en cas de non-paiement fautif et que les frais de la procédure de première instance sont mis à sa charge. Par courrier du 21 septembre 2023, le Président de la Cour de céans a informé le Ministère public que l’appel serait traité d’office en procédure écrite et que la Cour serait composée d’un juge unique en sa personne. Il n’a pas été ordonné d’échange d’écritures. C. Les faits reprochés à B.________ sont les suivants :</w:t>
      </w:r>
    </w:p>
    <w:p>
      <w:r>
        <w:t>- 3 - A [...], Avenue [...], le 29 avril 2023 à 18h05, B.________ a circulé au volant du véhicule immatriculé [...] en accélérant trop rapidement, notamment au démarrage, provoquant ainsi du bruit pouvant être évité. En d roit : 1. 1.1 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 1.2 S'agissant d'un appel dirigé contre un jugement ne portant que sur des contraventions, la procédure écrite est applicable d’office (art. 406 al. 1 let. c CPP) et la cause est de la compétence d'un juge unique (art. 14 al. 3 LVCPP [Loi vaudoise d’introduction du Code de procédure pénale suisse du 19 mai 2009 ; BLV 312.01). 2. Aux termes de l'art.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w:t>
      </w:r>
    </w:p>
    <w:p>
      <w:r>
        <w:t>- 4 - comme arbitraire que si elle s’avère manifestement insoutenable, et cela non seulement dans sa motivation mais aussi dans son résultat (ATF 146 IV 88 consid. 1.3.1 ; TF 6B_20/2022 du 19 avril 2023 consid. 2.1 et les arrêts cités). L’art. 398 al. 4, 2e phrase CPP dispose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2e éd., Bâle 2019, nn. 22-23 ad art. 398 CPP). La partie appelante peut néanmoins valablement renouveler en appel les réquisitions de preuve formulées devant le premier juge et qui ont été rejetées (TF 6B_362/2012 du 29 octobre 2012 consid. 8.4.1). 3. 3.1 L’appelant invoque une appréciation arbitraire des faits par le premier juge. Il reproche à ce dernier de s’être écarté des constatations faites dans le rapport de dénonciation de la police, qui ont été confirmées par l’audition de l’un des agents lors des débats de première instance, et d’avoir ainsi dénié toute force probante au rapport alors que celui-ci est par sa nature destiné et propre à servir de moyen de preuve. 3.2 Le tribunal apprécie librement les preuves recueillies selon l'intime conviction qu'il retire de l'ensemble de la procédure (art. 10 al. 2 CPP).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w:t>
      </w:r>
    </w:p>
    <w:p>
      <w:r>
        <w:t>- 5 -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 34 ad art. 10 CPP). Le principe de l'appréciation libre des preuves interdit d'attribuer d'entrée de cause une force probante accrue à certains moyens de preuve, comme des rapports de police (TF 6B_55/2018 du 17 mai 2018 consid. 1.1 ; TF 6B_146/2016 du 22 août 2016 consid. 4.1 ; TF 6B_353/2015 du 14 décembre 2015 consid. 2).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(TF 6B_55/2018 précité ; TF 6B_753/2016 du 24 mars 2017 consid. 1.2 ; TF 6B_750/2010 du 5 mai 2011 consid. 2.2). 3.3 En l’espèce, le rapport de dénonciation reproche au prévenu d’avoir provoqué avec son véhicule du bruit pouvant être évité en accélérant trop rapidement. Il aurait ainsi contrevenu aux art. 42 al. 1 LCR (Loi fédérale sur la circulation routière du 19 décembre 1958 ; RS 741.01) et 33 let c OCR (Ordonnance sur les règles de la circulation routière du 13 novembre 1962 ; RS 741.11). L’un des auteurs du rapport a été entendu aux débats de première instance en qualité de témoin. Il a déclaré que la manière de conduire saccadée du prévenu, alternant ralentissement et accélération, pouvait s’expliquer par le fait que le conducteur cherchait une place de parc, comme ce dernier l’a déclaré, mais que dans le cas présent les accélérations ne lui semblaient pas être liées à la présence ou non de places de parc. Il a également déclaré que son collègue et lui- même avait pris en considération la puissance du véhicule du prévenu, une Ford Mustang équipée d’un moteur V8, avant de procéder à l’intervention, mais qu’ils avaient malgré tout l’impression que le conducteur faisait monter les tours du moteur.</w:t>
      </w:r>
    </w:p>
    <w:p>
      <w:r>
        <w:t>- 6 - Pour sa part, B.________ a contesté avoir causé du bruit inutilement. Il a justifié sa conduite saccadée en expliquant qu’il recherchait une place de parc et qu’il devait ralentir puis réaccélérer en fonction des opportunités de stationnement. Il a reconnu que le moteur V8 de son véhicule est plus bruyant que des moteurs de cylindrée inférieure, mais a souligné que la puissance du moteur l’aurait rapidement entraîné à dépasser les limitations de vitesse s’il avait fait des accélérations brutales comme le soutenait le rapport de dénonciation. Lors de son audition, l’agent coauteur du rapport n’a fait état que d’un sentiment, ce qui diminue la valeur probante du rapport de dénonciation. Par ailleurs, les déclarations du prévenu paraissent plausibles, sa conduite saccadée et erratique pouvant s’expliquer par la recherche d’une place de stationnement. On ne peut ignorer également que le véhicule que le prévenu conduisait est en soi bruyant. Ainsi, le doute du premier juge n’est nullement déraisonnable au point que sa décision puisse être qualifiée d’arbitraire. L’appelant se contente d’opposer sa propre appréciation à celle du tribunal, ce qui n’est pas suffisant pour soutenir que les faits ont été établis de manière arbitraire. 4. Il s’ensuit que l’appel, manifestement mal fondé, doit être rejeté sans échange d’écritures (art. 390 al. 2 CPP par renvoi de l’art. 406 al. 4 CPP) et le jugement entrepris confirmé. Les frais de la procédure d’appel, par 540 fr. (art. 21 al. 1 TFIP [Tarif des frais de procédure et indemnités en matière pénale du 28 septembre 2010 ; BLV 312.03.1]), seront laissés à la charge de l’Etat (art. 428 al. 1 CPP).</w:t>
      </w:r>
    </w:p>
    <w:p>
      <w:r>
        <w:t>- 7 - Par ces motifs, le Président de la Cour d’appel pénale, statuant en application des art. 103 et 106 CP ; 10 al. 2 et 398 ss CPP ; 42 al. 1 et 90 al. 1 LCR ; 33 let. c OCR, prononce : I. L’appel est rejeté II. Le jugement du 11 août 2023 du Tribunal de police de l’arrondissement de l’Est vaudois est confirmé selon le dispositif suivant : « I. libère B.________ du chef de violation simple des règles de la circulation routière ; II. laisse les frais de la cause à la charge de l’Etat. » III. Les frais de la procédure d’appel, par 540 fr. (cinq cent quarante francs), sont laissés à la charge de l’Etat. IV. Le présent jugement exécutoire. Le président : Le greffier : Du Le jugement qui précède, dont la rédaction a été approuvée à huis clos, est notifié, par l'envoi d'une copie complète, à : - B.________, - Ministère public central,</w:t>
      </w:r>
    </w:p>
    <w:p>
      <w:r>
        <w:t>- 8 - et communiqué à : - Mme la Procureure du Ministère public central, division affaires spéciales, - Mme la Présidente du Tribunal de police de l’arrondissement de l’Est vaudois, - M. le Préfet de la Riviera-Pays d’Enhaut,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