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PE23.009661 vom 2. Mai 2025</w:t>
      </w:r>
    </w:p>
    <w:p>
      <w:r>
        <w:t>VD Tribunal cantonal, 2025-05-02, FR</w:t>
      </w:r>
    </w:p>
    <w:p>
      <w:r>
        <w:rPr>
          <w:b/>
        </w:rPr>
        <w:t xml:space="preserve">Quelle: </w:t>
      </w:r>
      <w:r>
        <w:t>https://mcp.opencaselaw.ch/entscheid/vd_gerichte_PE23.009661</w:t>
      </w:r>
    </w:p>
    <w:p>
      <w:r>
        <w:t>FR: VD_GERICHTE PE23.009661 du 2 mai 2025</w:t>
      </w:r>
    </w:p>
    <w:p>
      <w:r>
        <w:t>IT: VD_GERICHTE PE23.009661 del 2 maggio 2025</w:t>
      </w:r>
    </w:p>
    <w:p>
      <w:pPr>
        <w:pStyle w:val="Heading2"/>
      </w:pPr>
      <w:r>
        <w:t>Erwägungen</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(art. 385 al. 1 CPP), par la partie plaignante qui a un intérêt juridique à l’annulation ou à la modification de l’ordonnance entreprise (art. 382 al. 1 CPP), le recours est recevable.</w:t>
      </w:r>
    </w:p>
    <w:p>
      <w:r>
        <w:rPr>
          <w:b/>
        </w:rPr>
        <w:t>E. 2.1</w:t>
      </w:r>
    </w:p>
    <w:p>
      <w:r>
        <w:t>Dans un premier moyen, la recourante se plaint de ce que le Ministère public n’aurait donné suite que de manière incomplète à ses réquisitions de preuve. Elle dénonce une violation de son droit d’être entendu.</w:t>
      </w:r>
    </w:p>
    <w:p>
      <w:r>
        <w:rPr>
          <w:b/>
        </w:rPr>
        <w:t>E. 2.2</w:t>
      </w:r>
    </w:p>
    <w:p>
      <w:r>
        <w:t>Le droit d’être d’entendu découlant de l’art. 29 al. 2 Cst. et, en procédure pénale, des 3 al. 2 let. c et 107 CPP, comprend notamment le droit, pour le justiciable, de produire des preuves pertinentes et d’obtenir</w:t>
      </w:r>
    </w:p>
    <w:p>
      <w:r>
        <w:t>- 12 - qu’il soit donné suite à ses offres de preuves pertinentes (ATF 145 I 167 consid. 4.1 ; ATF 142 III 48 consid. 4.1.1 ; ATF 140 I 285 consid. 6.3.1 et les réf. cit. ; TF 2C_501/2020 du 15 mars 2021 consid. 5.1). Selon l’art. 139 al. 2 CPP,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procédé, est entachée d’arbitraire (ATF 144 II 427 consid. 3.1.3 ; ATF 141 I 60 consid. 3.3. ; TF 6B_1244/2023 du 20 décembre 2023 consid. 2.2).</w:t>
      </w:r>
    </w:p>
    <w:p>
      <w:r>
        <w:rPr>
          <w:b/>
        </w:rPr>
        <w:t>E. 2.3</w:t>
      </w:r>
    </w:p>
    <w:p>
      <w:r>
        <w:t>En l’espèce, comme le reconnait la recourante, le Ministère public a donné suite à ses réquisitions, à tout le moins pour une bonne partie. S’il est exact qu’il n’a pas sollicité de l’établissement scolaire de [...] qu’il communique quelles ont été les années scolaires que la recourante y a suivies, on ne voit pas en quoi cette information serait pertinente pour juger du bien-fondé des accusations qu’elle porte contre le prévenu. Il est vrai que la réponse lapidaire que la directrice dudit établissement a adressée au Ministère public, savoir qu’elle n’était pas en mesure de dire quand des cours d’éducation sexuelle avaient été dispensés à la recourante, dès lors que celle-ci n’étudiait plus en son sein depuis trois ans, interpelle quant à la volonté – ou plutôt l’absence de volonté – de l’intéressée de collaborer à l’enquête. Il reste que, là non plus, on ne discerne pas en quoi la mesure d’instruction sollicitée par la recourante serait nécessaire ni même utile à la manifestation de la vérité. Il n’est pas contesté que les dévoilements successifs de la recourante sont intervenus à chaque fois peu de temps après que des cours d’éducation sexuelle, respectivement de prévention des abus sexuels, lui eurent été</w:t>
      </w:r>
    </w:p>
    <w:p>
      <w:r>
        <w:t>- 13 - dispensés. Cette circonstance était déjà connue lorsque M.________ s’est adressée à l’autorité de protection de l’enfant genevoise en 2021 et la mère de la recourante l’a également rapportée en lien avec les dernières confidences de sa fille, qui sont intervenues en mai 2023. Entendue en qualité de témoin, S.________ a elle aussi rapporté que sa nièce avait fait état d’un cours d’éducation sexuelle, pendant lequel elle avait ressenti « comme une connexion » avec ce qu’elle avait vécu. Savoir exactement à quelle date les cours en question ont été donnés n’apporterait rien d’utile à l’enquête, d’autant que rien ne laisse penser que la recourante se serait ouverte de ce qu’elle dit avoir vécu auprès de l’enseignant(e) responsable. Enfin, la recourante se plaint de ce que la procureure se soit satisfaite du rapport que lui a transmis le Dr D.________, qu’elle qualifie de « très lacunaire ». Il faut toutefois voir que ce rapport correspond à celui que ce praticien avait adressé en son temps – juillet 2021 – au SPMI, et on conçoit mal que ce médecin puisse, plus de trois ans plus tard, en dire plus que ce qu’il avait alors communiqué à l’autorité de protection de l’enfant, sachant que, lors de la consultation de juillet 2021, il n'assumait plus le suivi de la recourante depuis 2014 et qu’il ne l’a pas revue ensuite. Il suit de là que le grief tiré de la violation du droit d’être entendu de la recourante est mal fondé.</w:t>
      </w:r>
    </w:p>
    <w:p>
      <w:r>
        <w:rPr>
          <w:b/>
        </w:rPr>
        <w:t>E. 3.1</w:t>
      </w:r>
    </w:p>
    <w:p>
      <w:r>
        <w:t>La recourante dénonce ensuite une violation de l’art. 319 al. 1 CPP et du principe in dubio pro duriore.</w:t>
      </w:r>
    </w:p>
    <w:p>
      <w:r>
        <w:rPr>
          <w:b/>
        </w:rPr>
        <w:t>E. 3.2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w:t>
      </w:r>
    </w:p>
    <w:p>
      <w:r>
        <w:t>- 14 - La décision de classer la procédure doit être prise en application du principe in dubio pro duriore, qui signifie qu’en règle générale, un classement ou une non-entrée en matière ne peuvent être prononcés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4.1.2 et les réf. cit. ; TF 6B_1064/2019 du 16 janvier 2020 consid. 2.1 ; TF 6B_116/2019 du 11 mars 2019 consid. 2.1). En revanche, le Ministère public doit classer la procédure s’il apparaît, sur la base de faits assez clairs pour qu’il n’y ait pas lieu de s’attendre à une appréciation différente de l’autorité de jugement, qu’un renvoi aboutirait selon toute vraisemblance à un acquittement (ATF 143 IV 241 consid. 2.3.2).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11 octobre 2019 consid. 2.2.1 ; CREP 10 mai 2016/305 et les réf. cit.).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En amont, une telle configuration exclut aussi, en</w:t>
      </w:r>
    </w:p>
    <w:p>
      <w:r>
        <w:t>- 15 -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Suivant les circonstances, les mêmes motifs peuvent aussi permettre, en particulier si la crédibilité de la partie plaignante est d'emblée remise en question par des éléments manifestement probants, de rendre une décision de non- entrée en matière (TF 6B_933/2021 du 21 février 2022 consid. 2.1 et les réf. cit.).</w:t>
      </w:r>
    </w:p>
    <w:p>
      <w:r>
        <w:rPr>
          <w:b/>
        </w:rPr>
        <w:t>E. 3.3</w:t>
      </w:r>
    </w:p>
    <w:p>
      <w:r>
        <w:t>A l’appui de son ordonnance de classement, le Ministère public a mis en exergue plusieurs circonstances qui seraient, selon son appréciation, de nature à entamer la crédibilité que l’on est en mesure de prêter aux déclarations de la recourante.</w:t>
      </w:r>
    </w:p>
    <w:p>
      <w:r>
        <w:rPr>
          <w:b/>
        </w:rPr>
        <w:t>E. 3.3.1</w:t>
      </w:r>
    </w:p>
    <w:p>
      <w:r>
        <w:t>La Procureure a relevé à juste titre que les déclarations de X.________ ont été globalement constantes. On ne voit pas, en revanche, qu’on puisse affirmer, comme l’a fait le Ministère public, que le récit de la plaignante est demeuré « très succinct ». Ce qualificatif pourrait tout au plus convenir à ce que les différentes personnes – mère, tante, médecin – auxquelles la recourante s’est confiée en juillet 2021 ont été en mesure de restituer de ses confidences, mais pas aux déclarations que les enquêteurs ont recueillies le 19 mai 2023, suivant le protocole NICHD. A cette occasion, la recourante a situé clairement les faits dans l’espace et le temps. Concernant le premier épisode, elle a rapporté qu’elle se trouvait dans le lit parental pour veiller sur sa petite sœur ; le prévenu a d’ailleurs reconnu qu’à une unique reprise, sa belle-fille s’était endormie dans le lit parental. La recourante a fait état d’une lumière flash qu’elle voyait, a décrit les habits qu’elle portait et, de manière assez détaillée, les actes qu’elle a eu à subir et les amorces de réaction qu’ils ont suscitées chez elle. C’est d’ailleurs le lieu de noter que, comme elle l’avait rapporté au Dr D.________ en juillet 2021, elle a évoqué, lors de son audition du</w:t>
      </w:r>
    </w:p>
    <w:p>
      <w:r>
        <w:t>- 16 - 19 mai 2023, la sensation de quelque chose d’un peu mouillé. S’agissant du second épisode, le récit de la recourante recèle lui aussi bon nombre de détails : son beau-père lui aurait proposé un massage, ils seraient montés dans une chambre, il se serait assis sur une chaise, elle sur ses genoux, il lui aurait levé un peu sa robe et aurait enlevé un peu sa culotte puis aurait commencé à la toucher avec deux doigts, faisant « comme des cercles ». Par ailleurs, comme le reconnaît le Ministère public, les éventuelles imprécisions qui pourraient affecter le récit de la recourante s’expliquent aisément au regard de l’âge qu’elle avait au moment des faits – neuf ans – et de l’écoulement du temps.</w:t>
      </w:r>
    </w:p>
    <w:p>
      <w:r>
        <w:rPr>
          <w:b/>
        </w:rPr>
        <w:t>E. 3.3.2</w:t>
      </w:r>
    </w:p>
    <w:p>
      <w:r>
        <w:t>Le Ministère public a aussi insisté sur le contexte du dévoilement. Il a souligné le fait que les confidences de la recourante sont intervenues à chaque fois peu de temps après qu’elle avait suivi des cours d’éducation sexuelle, respectivement de prévention des abus sexuels, à l’école. On ne voit toutefois pas en quoi cette circonstance pourrait être interprétée au préjudice de la crédibilité de ses révélations. On peut en effet tout à fait concevoir que la recourante n’ait pas été en mesure d’identifier le caractère inacceptable de ce que le prévenu est accusé de lui avoir fait subir avant qu’elle n’ait été orientée sur ce qui est licite et ce qui ne l’est pas dans le cadre de sa scolarité. Dans cette hypothèse, on ne discernerait rien d’insolite dans le fait que les révélations de la recourante soient intervenues dans le prolongement des séances d’information organisées à l’école. Le Ministère public a également mis en évidence que la première révélation était intervenue peu de temps après la séparation de la mère et du beau-père de la recourante et les bouleversements qui ont suivi, dont des disputes qui auraient choqué les enfants et le déménagement de la fratrie de [...] à [...]. S’il est vrai que dans ces circonstances, il n’est pas invraisemblable que la recourante ait pu concevoir quelque ressentiment à l’endroit de son beau-père, on pourrait néanmoins tout aussi bien formuler l’hypothèse selon laquelle l’éloignement du prévenu a permis la libération de la parole de l’enfant. Il faut voir encore qu’en juillet 2021, soit au moment où la recourante a</w:t>
      </w:r>
    </w:p>
    <w:p>
      <w:r>
        <w:t>- 17 - dénoncé pour la première fois les agissements dont le prévenu est soupçonné, la mère de cette dernière avait encore l’ambition de sauver son couple, ce qui a sans doute constitué l’une des raisons pour lesquelles elle tenait à ce que son mari continue de voir ses enfants. L’état d’esprit de la mère de la recourante explique aussi, au moins en partie, le motif pour lequel le signalement adressé au SPMI n’a pas débouché sur l’ouverture d’une enquête approfondie, de sorte que l’impact négatif sur la crédibilité des révélations de la recourante que le Ministère public prête à cette circonstance doit être relativisé. L’hypothèse selon laquelle l’enfant aurait été manipulé ou influencé par sa mère à des fins de représailles paraît également pouvoir être écartée, rien ne venant l’étayer. Quant au fait que la recourante a découvert que le prévenu n’était pas son père biologique, il apparaît qu’elle l’a su bien avant les premières révélations, soit au début de l’année 2019 déjà (PV aud. 2, R. 6), sans que cela ne modifie, si l’on en croit sa mère, la relation qu’elle entretenait avec son beau-père, l’enfant ayant expliqué qu’elle le savait déjà, sans toutefois en avoir la confirmation officielle (PV aud. 5, l. 198-199). Enfin, M.________ a rapporté que, lorsque B.________ visitait la famille à [...], X.________ était mal à l’aise avec lui et le prévenu a reconnu qu’elle ne lui parlait pas trop, ce qui tendrait plutôt à accréditer les révélations de l’enfant, même si d’autres explications sont défendables, comme celle, avancée par le prévenu, consistant à dire que la recourante a pu nourrir une certaine forme de jalousie à l’égard de ses autres enfants.</w:t>
      </w:r>
    </w:p>
    <w:p>
      <w:r>
        <w:rPr>
          <w:b/>
        </w:rPr>
        <w:t>E. 3.3.3</w:t>
      </w:r>
    </w:p>
    <w:p>
      <w:r>
        <w:t>Au niveau de la chronologie, la Procureure a constaté que la recourante n’avait pas, lors du premier dévoilement de juillet 2021, évoqué le second épisode, qu’elle situe pourtant également pendant la grossesse gémellaire de sa mère en 2019, mais qu’elle n’a révélé qu’au mois de mai 2023. Il ne faut toutefois pas perdre de vue qu’en 2021, les déclarations de la recourante n’avaient pas été recueillies avec les précautions d’usage, ce qui pourrait expliquer qu’elle ne se soit pas trouvée en capacité de livrer un récit complet. On peut aussi supposer que le fait que ses premières confidences n’ont été suivies d’aucune conséquence l’ait durablement dissuadée de se confier plus avant. On sait</w:t>
      </w:r>
    </w:p>
    <w:p>
      <w:r>
        <w:t>- 18 - en outre qu’après que M.________ et ses enfants se furent installés à [...], le prévenu a continué à être très présent, au point qu’il a pu déclarer qu’« on était la même famille que lorsque nous étions domiciliés à [...]. On jouait tous ensemble, on faisait la prière le soir avant d’aller dormir (…) Tout était fluide », de sorte qu’on peine à déceler, dans le comportement du prévenu, ce qui aurait pu décider la recourante à mentir en proférant de nouvelles accusations en mai 2023.</w:t>
      </w:r>
    </w:p>
    <w:p>
      <w:r>
        <w:rPr>
          <w:b/>
        </w:rPr>
        <w:t>E. 3.3.4</w:t>
      </w:r>
    </w:p>
    <w:p>
      <w:r>
        <w:t>Au vu de ce qui précède, il est erroné de considérer qu’un renvoi en jugement du prévenu aboutirait, selon une vraisemblance confinant à la certitude, à un acquittement. L’hypothèse d’une condamnation du prévenu ne parait pas suffisamment improbable pour pouvoir aboutir, à ce stade, à un classement, étant entendu qu’il appartient au juge matériellement compétent – et non à l’autorité d’instruction, ni à la chambre de céans – d’apprécier de manière approfondie l’ensemble des éléments à charge ou à décharge. Ainsi, il y a lieu d’annuler l’ordonnance querellée et de renvoyer le dossier de la cause au Ministère public afin qu’il établisse un acte d’accusation à l’encontre de B.________ pour actes d’ordre sexuel avec des enfants et actes d’ordre sexuel commis sur une personne incapable de discernement ou de résistance.</w:t>
      </w:r>
    </w:p>
    <w:p>
      <w:r>
        <w:rPr>
          <w:b/>
        </w:rPr>
        <w:t>E. 4</w:t>
      </w:r>
    </w:p>
    <w:p>
      <w:r>
        <w:t>En définitive, le recours doit être admis, l’ordonnance querellée annulée et le dossier de la cause renvoyé au Ministère public pour qu’il procède dans le sens des considérants. Eu égard à la nature de l’affaire et au mémoire du recours, l’indemnité allouée au défenseur d’office de l’intimé sera fixée à 540 fr., correspondant à une activité nécessaire d’avocat de 3 heures au tarif horaire de 180 fr. (art. 2 al. 1 let. a et 3 al. 2 RAJ [règlement sur l'assistance judiciaire en matière civile du 7 décembre 2010 ; BLV 211.02.3] par renvoi de l'art. 26b TFIP [tarif des frais de procédure et indemnités en matière pénale du 28 septembre 2010 ; BLV 312.03.1]), montant auquel il convient d’ajouter des débours forfaitaires à concurrence de 2 % des honoraires admis (art. 3bis al. 1 RAJ), par 10 fr.</w:t>
      </w:r>
    </w:p>
    <w:p>
      <w:r>
        <w:t>- 19 - 80, plus la TVA au taux de 8.1%, par 44 fr. 60. L’indemnité s’élève ainsi à 596 fr. au total en chiffres arrondis. Me Stéphanie Brun Poggi a requis sa désignation en qualité de conseil juridique gratuit pour la procédure de recours. Cette requête doit être admise (art. 136 al. 3 CPP). L’intéressée, déjà consultée, sera désignée en qualité que conseil juridique gratuit (cf. CREP 13 janvier 2025/22 consid. 3 ; CREP 4 novembre 2024/790 consid. 7). Cette avocate a produit, le 24 avril 2025, une note d’honoraires faisant état de 7h45 d’activité d’avocat. Ces opérations peuvent être admises. Ainsi, son indemnité d’office sera arrêtée à 1'539 fr. en chiffres arrondis, TVA et débours compris. Vu le sort du recours, les frais de la procédure, constitués en l’espèce de l’émolument d'arrêt, par 1’980 fr. (art. 20 al. 1 TFIP [tarif des frais judiciaires et indemnités en matière pénale du 28 septembre 2010 ; BLV 312.03.1]), et des frais imputables aux avocats d’office seront laissés à la charge de l’Etat (art. 428 al. 4 CPP). Par ces motifs, la Chambre des recours pénale prononce : I. Le recours est admis. II. L’ordonnance du 9 janvier 2025 est annulée. III. Le dossier de la cause est renvoyé au Ministère public de l’arrondissement de La Côte pour qu’il procède dans le sens des considérants. IV. L’indemnité allouée à Me Cecilie Carlsson, défenseur d’office de B.________, est fixée à 596 fr. (cinq cent nonante-six francs), TVA et débours compris. V. La requête de désignation d’un conseil juridique gratuit de X.________ pour la procédure de recours, en la personne de Me Stéfanie Brun Poggi, est admise.</w:t>
      </w:r>
    </w:p>
    <w:p>
      <w:r>
        <w:t>- 20 - VI. L'indemnité allouée à Me Stéfanie Brun Poggi est fixée à 1'539 fr. (mille cinq cent trente-neuf francs), TVA et débours compris. VII. Les frais d'arrêt, par 1’980 fr. (mille neuf cent huitante francs), ainsi que les indemnités allouées aux conseils d’office, par 2’135 fr. (deux mille cent trente-cinq francs), sont laissés à la charge de l’Etat. VIII. L’arrêt est exécutoire. Le président : La greffière : Du Le présent arrêt, dont la rédaction a été approuvée à huis clos, est notifié, par l'envoi d'une copie complète, à : - Me Stéphanie Brun Poggi, avocate (pour X.________), - Me Cecilie Carlsson, avocate (pour B.________)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