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PE23.009272 vom 23. Mai 2025</w:t>
      </w:r>
    </w:p>
    <w:p>
      <w:r>
        <w:t>VD Tribunal cantonal, 2025-05-23, FR</w:t>
      </w:r>
    </w:p>
    <w:p>
      <w:r>
        <w:rPr>
          <w:b/>
        </w:rPr>
        <w:t xml:space="preserve">Quelle: </w:t>
      </w:r>
      <w:r>
        <w:t>https://mcp.opencaselaw.ch/entscheid/vd_gerichte_PE23.009272</w:t>
      </w:r>
    </w:p>
    <w:p>
      <w:r>
        <w:t>FR: VD_GERICHTE PE23.009272 du 23 mai 2025</w:t>
      </w:r>
    </w:p>
    <w:p>
      <w:r>
        <w:t>IT: VD_GERICHTE PE23.009272 del 23 maggio 2025</w:t>
      </w:r>
    </w:p>
    <w:p>
      <w:pPr>
        <w:pStyle w:val="Heading2"/>
      </w:pPr>
      <w:r>
        <w:t>Erwägungen</w:t>
      </w:r>
    </w:p>
    <w:p>
      <w:r>
        <w:rPr>
          <w:b/>
        </w:rPr>
        <w:t>E. 4</w:t>
      </w:r>
    </w:p>
    <w:p>
      <w:r>
        <w:t>Concluant à son acquittement, l’appelant ne conteste pas la peine. Celle-ci doit néanmoins être revue d’office.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4.1.2</w:t>
      </w:r>
    </w:p>
    <w:p>
      <w:r>
        <w:t>Aux termes de l’art. 34 CP, sauf disposition contraire, la peine pécuniaire est de trois jours-amende au moins et ne peut excéder 180 jours- 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13J010</w:t>
      </w:r>
    </w:p>
    <w:p>
      <w:r>
        <w:t>- 12 - le montant selon la situation personnelle et économique de l’auteur au moment du jugement, notamment en tenant compte de son revenu et de sa fortune, de son mode de vie, de ses obligations d’assistance, en particulier familiales, et du minimum vital.</w:t>
      </w:r>
    </w:p>
    <w:p>
      <w:r>
        <w:rPr>
          <w:b/>
        </w:rPr>
        <w:t>E. 4.2</w:t>
      </w:r>
    </w:p>
    <w:p>
      <w:r>
        <w:t>En l’espèce, la Cour de céans fait sienne la motivation du premier juge. La culpabilité de l’appelant n’est pas sans importance dès lors qu’il s’est approprié des valeurs patrimoniales qui ne lui étaient pas destinées, trahissant la confiance de son employeur dans un but purement égoïste. Malgré l’évidence, l’appelant persiste à nier tout comportement répréhensible, témoignant d'un entêtement marqué et d'une absence totale de prise de conscience, ce constat étant renforcé par son absence aux débats d’appel. Ainsi, la culpabilité de B.________ justifie le prononcé d'une peine pécuniaire de 45 jours-amende. Le jour-amende a été fixé à 30 fr., ce qui correspond à la situation financière de l'intéressé. Quant à l'octroi du sursis (art. 42 al. 1 CP), il ne prête pas le flanc à la critique malgré l'absence de prise de conscience, l'intéressé étant un primo-délinquant. L'amende fixée à titre de sanction immédiate est justifiée dans son principe et sa quotité. En définitive, la peine prononcée par le premier juge est adéquate et doit être confirmée.</w:t>
      </w:r>
    </w:p>
    <w:p>
      <w:r>
        <w:rPr>
          <w:b/>
        </w:rPr>
        <w:t>E. 5</w:t>
      </w:r>
    </w:p>
    <w:p>
      <w:r>
        <w:t>Vu l’issue de la cause, les frais de la procédure d’appel, par 1’280 fr., constitués des émoluments de jugement et d’audience (art. 21 al. 1 et 2 TFIP [tarif des frais de procédure et indemnités en matière pénale du 28 septembre 2010 ; BLV 312.03.1]), seront mis à la charge de B.________, qui succombe (art. 428 al. 1 CPP). Pour ce même motif, aucune indemnité ne lui sera allouée au titre de l’art. 429 CPP. 13J010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