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PE23.009258 vom 25. März 2024</w:t>
      </w:r>
    </w:p>
    <w:p>
      <w:r>
        <w:t>VD Tribunal cantonal, 2024-03-25, FR</w:t>
      </w:r>
    </w:p>
    <w:p>
      <w:r>
        <w:rPr>
          <w:b/>
        </w:rPr>
        <w:t xml:space="preserve">Quelle: </w:t>
      </w:r>
      <w:r>
        <w:t>https://mcp.opencaselaw.ch/entscheid/vd_gerichte_PE23.009258</w:t>
      </w:r>
    </w:p>
    <w:p>
      <w:r>
        <w:t>FR: VD_GERICHTE PE23.009258 du 25 mars 2024</w:t>
      </w:r>
    </w:p>
    <w:p>
      <w:r>
        <w:t>IT: VD_GERICHTE PE23.009258 del 25 marzo 2024</w:t>
      </w:r>
    </w:p>
    <w:p>
      <w:pPr>
        <w:pStyle w:val="Heading2"/>
      </w:pPr>
      <w:r>
        <w:t>Erwägungen</w:t>
      </w:r>
    </w:p>
    <w:p>
      <w:r>
        <w:rPr>
          <w:b/>
        </w:rPr>
        <w:t>E. 4.1</w:t>
      </w:r>
    </w:p>
    <w:p>
      <w:r>
        <w:t>L’appelant soutient que les propos qu’il a tenus ne seraient pas en eux-mêmes diffamatoires. La notion de « perversion narcissique » serait selon lui un fait notoire et son utilisation à l’égard des intimés aurait exclusivement eu une visée médicale. Il précise également avoir uniquement parlé de « tentative d’extorsion » commise par les intimés et non d’« extorsion ».</w:t>
      </w:r>
    </w:p>
    <w:p>
      <w:r>
        <w:rPr>
          <w:b/>
        </w:rPr>
        <w:t>E. 4.2</w:t>
      </w:r>
    </w:p>
    <w:p>
      <w:r>
        <w:t>Aux termes de l'art. 173 ch. 1 aCP, continuant de trouver application dans la mesure où sa version entrée en vigueur au 1er juillet 2023 n’est pas plus favorable à l’appelant,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w:t>
      </w:r>
    </w:p>
    <w:p>
      <w:r>
        <w:t>- 16 - consid. 2.3 ; ATF 137 IV 313 consid. 2.1.1 ;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6B_450/2024 du 8 août 2024 consid. 1.1.2 et les références citées). Le fait d’accuser une personne d'avoir commis une infraction pénale ou un acte clairement réprouvé par les conceptions généralement admises constitue une atteinte à l’honneur (ATF 145 IV 462 consid 4.2.2 ; TF 6B_1120/2023 du 20 juin 2024 consid. 1.1.1). L’évocation d’une maladie n’est pas une atteinte à l’honneur si la personne visée n’est en aucun cas responsable d’un comportement méprisable lors de la survenance ou des effets de la maladie. En revanche, il y a atteinte à l’honneur si l’auteur sous-entend un comportement méprisable que la personne visée pouvait maîtriser (Dupuis et al. [éd.], Petit commentaire, Code pénal, 2e éd., Bâle 2017, n. 7 ad remarques préliminaires ad art. 173 à 178 CP et les références citées). Pour qu'il y ait diffamation, il faut que l'auteur s'adresse à un tiers. Est en principe considérée comme tiers toute personne autre que l'auteur et l'objet des propos qui portent atteinte à l'honneur (ATF 145 IV 462 consid. 4.3.3). Un magistrat est un tiers au sens de l’art. 173 CP (TF 6B_974/2018 du 20 décembre 2018 consid. 2.3.1). Du point de vue subjectif, il suffit que l'auteur ait eu conscience du caractère attentatoire à l'honneur de ses propos et qu'il les ait néanmoins proférés ; il n'est pas nécessaire qu'il ait eu la volonté de blesser la personne visée (ATF 137 IV 313 consid. 2.1.6 ; TF 6B_450/2024 précité consid. 1.1.2 et les références citées).</w:t>
      </w:r>
    </w:p>
    <w:p>
      <w:r>
        <w:t>- 17 -</w:t>
      </w:r>
    </w:p>
    <w:p>
      <w:r>
        <w:rPr>
          <w:b/>
        </w:rPr>
        <w:t>E. 4.3</w:t>
      </w:r>
    </w:p>
    <w:p>
      <w:r>
        <w:t>En l’espèce, l’appelant ne conteste pas la matérialité des faits qui lui sont reprochés (PV aud. 1, ll. 43 s., p. 2). Il réitère même, sans retenue aucune, les allégations litigieuses dans son acte d’appel. Le fait de traiter les intimés de « pervers narcissiques qui [font] des manœuvres, ment[ent] et [ont] commis une extorsion financière ; malades qui devraient se faire expertiser ; [et] qui exercent un harcèlement continu envers [s]es clients », comme l’a fait l’appelant lors de l’audience de conciliation du 13 avril 2023 (cas 2.1), est incontestablement de nature à porter atteinte à leur considération. Les termes utilisés, dépourvus de nuance, constituent objectivement une atteinte à l’honneur. En affirmant qu’ils se sont rendus coupables d’« extorsion financière » ainsi que de « harcèlement continu », l’appelant, en plus de faire référence à des comportements moralement réprouvés, accuse les intimés de comportements pouvant être constitutifs des infractions pénales d’extorsion (art. 156 CP) et de contrainte (art. 181 CP). Or, accuser une personne de s’être rendue coupable d’une infraction pénale constitue en soi une atteinte à son honneur. Le fait pour l’appelant de soutenir qu’il aurait déclaré que les intimés se sont livré "uniquement" à une tentative d’extorsion n’atténue en rien la gravité des propos diffamatoires considérés dans leur ensemble. Pour ce qui est du fait de dire des intimés qu’ils sont des « pervers narcissiques » qui font des manœuvres, mentent et « devraient se faire expertiser », de tels propos ont pour but de les accuser d’avoir adopté des comportements moralement réprouvés. Contrairement à ce que soutient l’appelant, la référence aux notions de « manœuvres » et de « mensonges » immédiatement après avoir affirmé que les intimés seraient des « pervers narcissiques » montre bien qu’il ne s’est pas contenté de faire référence de façon factuelle à une maladie ou un trouble dont ceux-ci souffriraient selon lui. Son but était manifestement de présenter les intimés comme des personnes méprisables. On relève en outre que les faits en cause se rapprochent de ceux sur lesquels portait l’arrêt TF 6B_506/2010 du 21 octobre 2010. Dans cette affaire, le Tribunal fédéral avait considéré que décrire une personne comme, notamment, « extrêmement manipulatrice, qui exercerait une forme de terreur affective sur ses proches » la faisait apparaître comme méprisable et manipulatrice, et était ainsi attentatoire à son honneur.</w:t>
      </w:r>
    </w:p>
    <w:p>
      <w:r>
        <w:t>- 18 - Les considérations développées ci-dessus s’appliquent également aux propos tenus par l’appelant dans ses courriers des 20 septembre et 4 octobre 2023 (cas 2.2), qui sont similaires, pour ne pas dire identiques, à ceux prononcés lors de l’audience du 13 avril 2023. Au vu de ce qui précède, les propos tenus par l’appelant portaient atteinte à l’honneur des intimés. L’appelant s’est adressé à une greffière et à un magistrat, qui sont des tiers au sens de l’art. 173 ch. 1 CP, et était conscient du caractère attentatoire à l’honneur de ses propos, étant rappelé qu’il est un avocat expérimenté. Les conditions de l’art. 173 ch. 1 CP sont ainsi réalisées.</w:t>
      </w:r>
    </w:p>
    <w:p>
      <w:r>
        <w:rPr>
          <w:b/>
        </w:rPr>
        <w:t>E. 5.1</w:t>
      </w:r>
    </w:p>
    <w:p>
      <w:r>
        <w:t>L’appelant invoque l’application de l’art. 14 CP, expliquant que ses propos s’inscrivaient dans la défense des intérêts de ses clients, victimes selon lui depuis 2015 de la persécution incessante et coordonnée des intimés, qui leur auraient fait subir un harcèlement quotidien, malveillant, cruel et humiliant ainsi que des manœuvres procédurales visant à les faire expulser administrativement de l’immeuble familial, à leur faire vendre ce bien ou à leur faire verser indûment des droits financiers de plus de 1'000'000 fr. en faveur de l’intimé W.________ au lieu des 70'000 fr. auxquels il aurait droit. Son comportement aurait également eu pour but de protéger A.T.________ de ce qu’il estime être des procédés illicites, utilisés par le Ministère public, pour « tenter une conciliation générale en catimini ». L’appelant affirme encore qu’il devait être admis à faire la preuve de la vérité, son intention de nuire aux intimés ou de les dénigrer n’ayant selon lui pas été établie. Il considère que cette preuve aurait été apportée si l’expertise psychiatrique des intimés – qu’il avait requise – avait été mise en œuvre. Pour justifier cette expertise, l’appelant cite des extraits d’ouvrages sur le harcèlement moral, l’emprise ou la perversion narcissique, qui établiraient selon lui le bien fondé des termes litigieux qu’il a employés. Il fait également de longs développements pour exposer</w:t>
      </w:r>
    </w:p>
    <w:p>
      <w:r>
        <w:t>- 19 - les faits qui imposeraient la mise en œuvre d’une telle expertise par des psychiatres spécialisés dans le domaine de la perversion narcissique, dite expertise devant par ailleurs lui permettre d’obtenir la condamnation des intimés pour calomnie à son égard. L’appelant fait encore valoir qu’il avait des raisons sérieuses « de croire en la pathologie » des intimés au vu de leur comportement et de leurs écrits, considérant qu’« il s’agit bien d’un couple pervers agissant en bande organisée ».</w:t>
      </w:r>
    </w:p>
    <w:p>
      <w:r>
        <w:rPr>
          <w:b/>
        </w:rPr>
        <w:t>E. 5.2.1</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 ATF 131 IV 154 consid. 1.3.1 ; TF 7B_542/2023 du 30 mai 2024 consid. 2.2.3 ; TF 6B_575/2015 du 27 avril 2016 consid. 3.1). Cela vaut également pour les déclarations faites en conciliation (ATF 116 IV 211, JdT 1992 IV 83).</w:t>
      </w:r>
    </w:p>
    <w:p>
      <w:r>
        <w:rPr>
          <w:b/>
        </w:rPr>
        <w:t>E. 5.2.2</w:t>
      </w:r>
    </w:p>
    <w:p>
      <w:r>
        <w:t>En application de l’art. 173 ch. 2 CP, l'inculpé n'encourra aucune peine s'il prouve que les allégations qu'il a articulées ou propagées sont conformes à la vérité ou qu'il avait des raisons sérieuses de les tenir de bonne foi pour vraies. En revanche, à teneur de l'art. 173 ch. 3 CP,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L'auteur d'une atteinte à l'honneur doit se voir refuser le droit d'apporter des preuves libératoires lorsqu'il s'est exprimé sans motif</w:t>
      </w:r>
    </w:p>
    <w:p>
      <w:r>
        <w:t>- 20 -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(ATF 137 IV 313 consid. 2.4.2 et 2.4.4 ; TF 6B_450/2024 précité consid. 1.1.3 et les références citées). La jurisprudence et la doctrine interprètent de manière restrictive les conditions énoncées à l'art. 173 ch. 3 CP. En principe, l'accusé doit être admis à faire les preuves libératoires et ce n'est qu'exceptionnellement que cette possibilité doit lui être refusée (ATF 132 IV 112 consid. 3.1).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137 IV 313 consid. 2.4.4 ; ATF 132 IV 112 consid. 3.1 ; TF 6B_450/2024 précité consid. 1.1.3 et les références citées).</w:t>
      </w:r>
    </w:p>
    <w:p>
      <w:r>
        <w:rPr>
          <w:b/>
        </w:rPr>
        <w:t>E. 5.3</w:t>
      </w:r>
    </w:p>
    <w:p>
      <w:r>
        <w:t>En l’espèce, lors de l’audience de conciliation, l’ire de l’appelant, avocat expérimenté exerçant son activité depuis 1975, a été suscité par l’interpellation de la greffière menant l’audience, qui s’est adressée à l’un de ses clients pour tenter de trouver une solution amiable au litige qui opposait les parties. Les faits dénoncés par les clients de l’appelant, qualifiés de dommages à la propriété au stade de l’instruction, concernaient le démontage d’un détecteur de système d’alarme au niveau d’une porte extérieure secondaire de l’immeuble au sein duquel résident les parties. Même si les faits s’inscrivent dans le cadre d’un très important conflit familial, ceux-ci ne sauraient être considérés comme complexes ou</w:t>
      </w:r>
    </w:p>
    <w:p>
      <w:r>
        <w:t>- 21 - graves. La nature des faits dénoncés est sans aucun lien avec les qualificatifs employés par l’appelant au sujet des intimés. Les propos tenus n’étaient pas non plus en mesure de favoriser l’instruction et encore moins l’audience de conciliation. Ils n’étaient par ailleurs pas nécessaires pour mettre rapidement fin à l’audience de conciliation si tel était le but poursuivi par l’appelant. Du reste, lors de son audition devant le procureur, l’appelant n’a pas développé le moindre argument qui justifierait les propos tenus pour la défense des intérêts de ses clients par rapport aux faits qu’ils avaient dénoncés (PV aud. 1). Même si l’on peut admettre que l’appelant s’intéresse à la psychiatrie et à la psychologie, il ne peut attester d’aucune compétence scientifique ou de formation spécialisée. Les propos sur la santé mentale des intimés qu’il a tenus lors de l’audience de conciliation, qu’il a réitéré dans ses courriers des 20 septembre et 4 octobre 2023 et qu’il a persisté à tenir durant la procédure d’appel ne reposent sur aucune démarche clinique préalable. L’appelant s’est exprimé sans faire preuve de la moindre prudence, s’érigeant par la suite en expert psychiatre pour tenter de les justifier. Compte tenu de ces éléments, il y a lieu de conclure que les allégations de l’appelant au sujet des intimés, tenues durant l’audience de conciliation ainsi que dans ses courriers des 20 septembre et 4 octobre 2023, étaient dépourvues de toute pertinence et n’étaient pas nécessaires pour défendre les intérêts de ses mandants. En outre, s’agissant du "diagnostic" qu’il a posé à l’égard des intimés, il ne s’est pas contenté de faire de simples suppositions mais a formulé des accusations péremptoires sur leur état mental. L’art. 14 CP ne trouve ainsi pas application. Pour ce qui est du droit à la preuve libératoire de l’appelant, les éléments exposés ci-dessus démontrent que ses propos n’étaient fondés sur aucun motif suffisant, que ce soit sur le plan d’un intérêt privé, s’agissant de deux affaires qui ne le concernent pas personnellement, ou public, les accusations proférées étant sans pertinence aucune sur le sort de ces causes. Les termes utilisés révèlent en revanche l’existence d’une animosité personnelle de l’appelant vis-à-vis des intimés, appréciation renforcée par le fait que, pour les faits relevant du cas 2.1, il a été le seul à quitter la salle d’audience, laissant ses clients seuls en face de la partie</w:t>
      </w:r>
    </w:p>
    <w:p>
      <w:r>
        <w:t>- 22 - adverse. Il faut donc en conclure que ces allégations ont été faites sciemment dans le dessein de dire du mal des intimés, étant précisé que les accusations avaient principalement trait à leur personnalité. Elles ne visaient ainsi qu’à les rabaisser, respectivement les rendre méprisables aux yeux de tiers. Le fait que, pour expliquer la teneur de ses allégations à l’égard des intimés dans le cas 2.1, l’appelant soutienne avoir été provoqué par la greffière qui tenait l’audience, conforte par ailleurs cette appréciation. C’est à raison que le premier juge a refusé d’admettre l’appelant à faire la preuve libératoire, celui-ci s’étant exprimé sans motif suffisant pour dire principalement du mal des intimés.</w:t>
      </w:r>
    </w:p>
    <w:p>
      <w:r>
        <w:rPr>
          <w:b/>
        </w:rPr>
        <w:t>E. 6.1</w:t>
      </w:r>
    </w:p>
    <w:p>
      <w:r>
        <w:t>Enfin, dans la dernière partie de son mémoire, l’appelant formule des griefs tendant à faire constater la nullité de la procédure pénale ouverte à son encontre, faute de « besoin social impérieux », procédure qui violerait l’art. 10 al. 2 CEDH et sa présomption d’innocence ; la nullité des ordonnances classant les plaintes qu’il a déposées contre les intimés, une procureure et ses deux greffières ; la nullité de l’audience du 13 avril 2023, faisant notamment valoir la violation de la Convention d’Istanbul, l’incompétence de la greffière ayant été déléguée pour mener l’audience et des abus successifs d’autorité ; la nullité du procès-verbal et de la note du 13 avril 2023 pour faux et usage de faux, dite note étant selon lui incomplète et fallacieuse ; la nullité de la plainte en diffamation déposée contre lui ; la nullité de son audition du 25 juillet 2023, laquelle serait inexploitable, et enfin, la nullité de l’acte d’accusation, dès lors qu’il serait fondé sur une plainte nulle.</w:t>
      </w:r>
    </w:p>
    <w:p>
      <w:r>
        <w:rPr>
          <w:b/>
        </w:rPr>
        <w:t>E. 6.2</w:t>
      </w:r>
    </w:p>
    <w:p>
      <w:r>
        <w:t>En ce qui concerne la liberté d’expression garantie par l’art. 10 CEDH, on ne discerne pas en quoi le droit fondamental de l’appelant aurait été violé, celui-ci ayant constamment eu la possibilité de s’exprimer sans aucune limitation. L’appelant cite en vain l’ATF 118 IV 248, alors que sa situation ne correspond pas à celle d’un avocat qui aurait repris les dénégations de son client, étant précisé que dans la présente affaire il est</w:t>
      </w:r>
    </w:p>
    <w:p>
      <w:r>
        <w:t>- 23 - exclu de considérer qu’il aurait limité ses allégations à ce qui est nécessaire et pertinent, sans recourir à des formules inutilement blessantes. Les arrêts de la Cour européenne des droits de l’homme (ci- après : CourEDH) invoqués par l’appelant ne sont pas plus pertinents. L’arrêt de la CourEDH Nikula contre Finlande du 21 mars 2002 (31611/96) portait sur une affaire qui concernait des critiques très vives adressées à un procureur. La Cour a précisé que de telles critiques devaient être tolérées dans la mesure où elles visaient la manière dont le magistrat s’était acquitté de ses fonctions dans l’affaire en cause et non pas ses qualités professionnelles en général. A cette occasion, la Cour a également indiqué que les limites de la critique admissible pouvaient dans certains cas être plus larges pour les fonctionnaires agissant dans l'exercice de leurs pouvoirs que pour les simples particuliers et a rejeté l'argument selon lequel la liberté d'expression de l'avocat de la défense doit être illimitée. Quant à l’arrêt de la CourEDH Halet contre Luxembourg du 14 février 2023 (21884/18), celui-ci concerne l’affaire d’un lanceur d’alerte ayant divulgué des documents confidentiels dans le domaine fiscal. Au vu des constats qu’elle a opérés quant à l’importance, à l’échelle tant nationale qu’européenne, du débat public sur les pratiques fiscales des multinationales auquel les informations divulguées ont apporté une contribution essentielle, la Cour a estimé que l’intérêt public attaché à la divulgation de ces informations l’emportait sur l’ensemble des effets dommageables résultant de celle-ci. Enfin, l’arrêt de la CourEDH Steur contre Pays-Bas du 28 octobre 2003 (39657/98) concernait pour sa part la situation d’un avocat dont les critiques étaient restreintes à la salle d’audience et ne constituaient pas une insulte personnelle. Elles reposaient sur le fait que le client de l’avocat, en raison de l’absence d’interprète durant son interrogatoire, n’avait pas pleinement compris qu’il avait fait des déclarations l’incriminant. Les critiques étaient là encore adressées à un fonctionnaire et la Cour a rappelé à cet égard que les limites de la critique admissible peuvent, dans certaines conditions, être plus larges pour les fonctionnaires agissant dans l’exercice de leurs fonctions officielles que pour de simples particuliers. La jurisprudence dont l’appelant se prévaut est donc très éloignée de la problématique qui le concerne.</w:t>
      </w:r>
    </w:p>
    <w:p>
      <w:r>
        <w:t>- 24 - L’appelant se réfère à l’ATF 147 I 386 consid. 1.5 pour soutenir que les procédures initiées par ses deux plaintes contre les intimés d’une part, et la procureure et ses greffières d’autre part, auraient dû être jointes à la présente cause, sous peine de violer le principe de la présomption d’innocence. La première plainte a fait l’objet d’une ordonnance de non-entrée en matière le 25 août 2023. L’appelant n’a pas fait recours contre cette décision, invoquant s’être réservé le droit d’en faire valoir la nullité ultérieurement, notamment dans le cadre de la présente affaire. La seconde plainte a fait l’objet d’une ordonnance de non-entrée en matière le 27 novembre 2023 par le Procureur général du Canton de Vaud. Celle-ci a été confirmée par arrêt de la Chambre des recours pénale du Tribunal cantonal du 16 janvier 2024, contre lequel un recours de l’appelant est pendant au Tribunal fédéral. Là aussi, le cas de l’appelant ne peut être comparé à la jurisprudence à laquelle il se réfère, dès lors qu’il n’a subi aucune attaque de la part des intimés et n’est pas personnellement victime de leurs agissements. Les faits concernés par ces différentes procédures ne sont pas intimement liés au sens de la jurisprudence citée par l’appelant. Quant à considérer que l’appelant aurait été victime d’une agression de la part de la procureure ou de l’une de ses greffières, en particulier d’un abus d’autorité comme il le soutient, une telle approche est insoutenable dès lors qu’il affirme uniquement que la greffière qui menait l’audience se serait adressée à son client pour lui demander si « ce n’était pas le moment d’ouvrir son cœur ». Le classement de la plainte de l’appelant à l’encontre de la procureure et de ses greffières est donc sans connexité factuelle pertinente avec la présente affaire, soit des allégations faites à l’encontre des intimés. L’appelant n’a été privé d’aucun moyen de défense et le traitement séparé des causes ne pouvait en rien préjuger de sa culpabilité. Pour le reste, l’appelant se livre à des spéculations sur les intentions poursuivies par la procureure afin de soutenir que l’audience de conciliation du 13 avril 2023 serait nulle. Il invoque également l’incompétence fonctionnelle de la greffière qui menait l’audition faute de délégation légale ainsi que des abus d’autorité qu’elle aurait commis dans</w:t>
      </w:r>
    </w:p>
    <w:p>
      <w:r>
        <w:t>- 25 - ce cadre. L’audience étant selon lui nulle, l’appelant en conclut que le procès-verbal le serait également. Ces griefs sont vains. Tout d’abord, quelle que puisse être la réalité des violations qu’il dénonce, aucune de ces problématique n’est susceptible de légitimer son comportement à l’égard des intimés qui ne sont en rien concernés par l’attitude des représentants de l’autorité judiciaire qu’il met en cause. Il faut ensuite constater que la greffière était habilitée à procéder à l’audition en question en vertu de l’art. 28 al 1 LMPu (loi sur le Ministère public du 19 mai 2009 ; BLC 173.21), qui prévoit que, sous sa responsabilité, le procureur peut confier à un collaborateur autorisé selon l'article 28 LVCPP (loi d’introduction du Code de procédure pénale suisse du 19 mai 2009 ; BLV 312.01) l'audition du prévenu, du témoin et de la personne appelée à donner des renseignements. Contrairement à ce que soutient l’appelant, un greffier est à même de tenir des audiences de conciliation, dont l’importance n’est pas supérieure aux autres audiences qui se déroulent en cours d’enquête en termes de conséquences procédurales, dès lors que la conciliation peut intervenir à n’importe quelle audience où les parties sont présentes et mettre fin à la procédure pénale de la même manière qu’à l’occasion d’une audience exclusivement dédiée à la conciliation. La base légale est suffisante. Quant au contenu du procès-verbal d’audience, l’appelant doit assumer les conséquences de son propre comportement, qui a consisté à décider librement de quitter la salle d’audience en laissant ses clients derrière lui. Comme toutes les personnes présentes à cette audience, il avait la possibilité de relire le procès-verbal et de le faire rectifier ou compléter si nécessaire. Du reste, ses clients l’ont signé, ce qui atteste de leur accord sur son contenu. L’appelant ne saurait donc contester a posteriori la validité du contenu de ce procès-verbal qui lui est opposable. Quant à la note figurant au procès-verbal des opérations, celle- ci lie uniquement la personne responsable de son contenu et l’autorité de céans est libre d’apprécier sa valeur probante comme n’importe quel autre moyen de preuve. Malgré la gravité des accusations qu’il porte à l’encontre de la personne qui a rédigé la note en question, l’appelant ne fournit pas le moindre début d’indice à même de faire douter de la véracité des éléments rapportés. Les griefs de l’appelant sur la validité de</w:t>
      </w:r>
    </w:p>
    <w:p>
      <w:r>
        <w:t>- 26 - l’audience de conciliation, du procès-verbal de cette audience et de la note figurant au procès-verbal des opérations doivent être rejetés. En définitive, tous les moyens tirés de la nullité de l’enquête dirigée contre l’appelant, des actes de procédure menés dans ce cadre et de ceux liés aux événements du 13 avril 2023 (enquête ouverte sur plainte des clients de l’appelant) doivent être rejetés.</w:t>
      </w:r>
    </w:p>
    <w:p>
      <w:r>
        <w:rPr>
          <w:b/>
        </w:rPr>
        <w:t>E. 7.1</w:t>
      </w:r>
    </w:p>
    <w:p>
      <w:r>
        <w:t>L’appelant ne critique pas la peine qui lui a été infligée. Celle- ci doit cependant être revue d’office.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6.1.1 ; TF 6B_372/2024 du 5 décembre 2024 consid. 4.1).</w:t>
      </w:r>
    </w:p>
    <w:p>
      <w:r>
        <w:t>- 27 -</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du 19 février 2024 consid. 1.4).</w:t>
      </w:r>
    </w:p>
    <w:p>
      <w:r>
        <w:rPr>
          <w:b/>
        </w:rPr>
        <w:t>E. 7.2.3</w:t>
      </w:r>
    </w:p>
    <w:p>
      <w:r>
        <w:t>Le juge suspend en règle générale l'exécution d'une peine pécuniaire ou d'une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w:t>
      </w:r>
    </w:p>
    <w:p>
      <w:r>
        <w:t>- 28 -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6B_252/2024 du 2 décembre 2024 consid. 3.1 et les références citées). En application de l’art. 44 al. 1 CP, si le juge suspend totalement ou partiellement l’exécution d’une peine, il impartit au condamné un délai d’épreuve de deux à cinq ans.</w:t>
      </w:r>
    </w:p>
    <w:p>
      <w:r>
        <w:rPr>
          <w:b/>
        </w:rPr>
        <w:t>E. 7.2.4</w:t>
      </w:r>
    </w:p>
    <w:p>
      <w:r>
        <w:t>L'art. 42 al. 4 CP permet au juge de prononcer, en plus d'une peine avec sursis, une amende conformément à l'art. 106 CP. Selon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w:t>
      </w:r>
    </w:p>
    <w:p>
      <w:r>
        <w:t>- 29 - potentiel coercitif de la peine avec sursis, en particulier dans les délits de masse. Cette forme d'admonestation adressée au condamné doit attirer son attention sur le sérieux de la situation en le sensibilisant à ce qui l'attend s'il ne s'amende pas (ATF 146 IV 145 consid. 2.2 ; 134 IV 60 consid. 7.3.1 ; TF 6B_1267/2023 du 13 juillet 2023 consid. 1.1.1 et les références citées). La peine prononcée avec sursis reste prépondérante, alors que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146 IV 145 consid. 2.2 ; ATF 135 IV 188 consid. 3.3 ; ATF 134 IV 1 consid. 4.5.2). Pour tenir compte du caractère accessoire de l'amende additionnelle, il se justifie en principe d'en fixer la limite supérieure à un cinquième (20 %) de la sanction globale adaptée à la faute (cette sanction étant constituée de la peine assortie du sursis, combinée à l'amende additionnelle) (ATF 146 IV 145 consid. 2.2; 135 IV 188 consid. 3.4.4). Des exceptions sont possibles en cas de peines de faible importance pour éviter que la peine cumulée n'ait qu'une portée symbolique (ATF 135 IV 188 consid. 3.4.4 ; TF 6B_1267/2023 précité consid. 1.1.1 et les références citées).</w:t>
      </w:r>
    </w:p>
    <w:p>
      <w:r>
        <w:rPr>
          <w:b/>
        </w:rPr>
        <w:t>E. 7.3</w:t>
      </w:r>
    </w:p>
    <w:p>
      <w:r>
        <w:t>La culpabilité de l’appelant n’est pas négligeable. Sa longue expérience professionnelle aurait dû lui permettre de contrôler ses émotions et de prendre de la distance par rapport à un conflit qui ne l’implique pas personnellement. La prise de conscience est inexistante puisque l’appelant continue de contester le caractère diffamatoire des propos en cause et a déclaré à plusieurs reprises qu’il n’éprouvait aucun regret, réitérant ses allégations attentatoires à l’honneur dans sa déclaration d’appel ainsi que durant l’audience d’appel. Il y a en outre concours d’infractions puisque la procédure porte sur trois évènements distincts au cours desquels l’appelant a tenu ses propos litigieux à l’encontre des intimés.</w:t>
      </w:r>
    </w:p>
    <w:p>
      <w:r>
        <w:t>- 30 - Le premier juge, qui semble avoir omis de prendre en compte le concours d’infractions lors de la fixation de la peine, a prononcé une peine pécuniaire de 30 jours-amende à l’encontre de l’appelant. Avec l’effet du concours, la Cour de céans estime qu’une peine de 80 jours- amende aurait été adéquate pour sanctionner les trois infractions commises. Toutefois, en application du principe de l’interdiction de la reformatio in pejus, la peine prononcée doit être confirmée. Le montant de 80 fr. le jour est approprié à la situation financière de l’appelant. Bien que l’appelant n’ait pas pris conscience de la gravité des faits, le pronostic n’est pas entièrement défavorable compte tenu de ses capacités et de ses aptitudes personnelles ainsi que de l’absence d’inscription à son casier judiciaire. Il convient par conséquent de confirmer l’octroi du sursis avec délai d’épreuve de 2 ans. Une amende à titre de sanction immédiate apparaît cependant nécessaire pour favoriser l’amorce d’une remise en question. Le montant modéré de 480 fr. arrêté par le premier juge, convertible en 6 jours de peine privative de liberté de substitution en cas de non-paiement fautif, peut également être confirmé.</w:t>
      </w:r>
    </w:p>
    <w:p>
      <w:r>
        <w:rPr>
          <w:b/>
        </w:rPr>
        <w:t>E. 8</w:t>
      </w:r>
    </w:p>
    <w:p>
      <w:r>
        <w:t>Au vu de ce qui précède, il convient de rejeter l’appel et de confirmer le jugement entrepris. Les frais d’appel s’élèvent à 3’010 francs. Ils sont constitués de l’émolument de jugement, par 2’310 fr. (art. 21 al. 1 TFIP [tarif des frais de procédure et indemnités en matière pénale ; BLV 312.03.1]) et de l’émolument d’audience, par 700 fr. (art. 21 al. 2 TFIP). Ils seront mis à la charge d’E.________ qui succombe (art. 428 al. 1 CPP). R.________ et W.________, qui obtiennent gain de cause et ont procédé avec l’assistance d’un défenseur de choix, ont droit à une indemnité pour les dépenses occasionnées par l’exercice raisonnable de leurs droits pour la procédure d’appel. Me Aurore Gaberell-Maquelin a produit une liste des opérations qui fait état de 13h10 d’activité d’avocat au tarif horaire de 270 francs. Il n’y a pas lieu de s’en écarter, si ce n’est pour réduire l’opération relative aux débats d’appel à 1h30 afin de tenir</w:t>
      </w:r>
    </w:p>
    <w:p>
      <w:r>
        <w:t>- 31 - compte la durée effective de l’audience. Les honoraires s’élèvent ainsi à 2'340 fr. correspondant à 8h40 d’activité à 270 francs. Viennent s’y ajouter des débours forfaitaires à hauteur de 2 % des honoraires admis (art. 19 al. 2 TDC [tarif des dépens en matière civile du 23 novembre 2010 ; BLV 270.11.6], applicable par renvoi de l’art. 26a al. 6 TFIP), par 46 fr. 80 fr., ainsi que la TVA à un taux de 8,1 % sur le tout, soit 193 fr. 35. L’indemnité s’élève donc à 2'580 fr. 15. Elle sera mise à la charge d’E.________.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