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PE23.009160 vom 8. Juli 2024</w:t>
      </w:r>
    </w:p>
    <w:p>
      <w:r>
        <w:t>VD Tribunal cantonal, 2024-07-08, FR</w:t>
      </w:r>
    </w:p>
    <w:p>
      <w:r>
        <w:rPr>
          <w:b/>
        </w:rPr>
        <w:t xml:space="preserve">Quelle: </w:t>
      </w:r>
      <w:r>
        <w:t>https://mcp.opencaselaw.ch/entscheid/vd_gerichte_PE23.009160</w:t>
      </w:r>
    </w:p>
    <w:p>
      <w:r>
        <w:t>FR: VD_GERICHTE PE23.009160 du 8 juillet 2024</w:t>
      </w:r>
    </w:p>
    <w:p>
      <w:r>
        <w:t>IT: VD_GERICHTE PE23.009160 del 8 luglio 2024</w:t>
      </w:r>
    </w:p>
    <w:p>
      <w:pPr>
        <w:pStyle w:val="Heading2"/>
      </w:pPr>
      <w:r>
        <w:t>Erwägungen</w:t>
      </w:r>
    </w:p>
    <w:p>
      <w:r>
        <w:rPr>
          <w:b/>
        </w:rPr>
        <w:t>E. 25</w:t>
      </w:r>
    </w:p>
    <w:p>
      <w:r>
        <w:t>juillet 2024 pour vol simple, séjour illégal, délits et crimes contre la LStup et contravention à la LStup, ce qui doit conduire au prononcé d’une peine privative de liberté entièrement complémentaire au sens de l’art. 49 al. 2 CP, dont la quotité sera fixée à 30 jours, étant précisé que ce type de sanction s’impose pour des motifs de prévention spéciale. Le dispositif omettant à tort de le préciser, il convient de le rectifier d’office en complétant son chiffre III (art. 83 al. 4 CPP). 5. 5.1 L’appelant réclame l’allocation pour lui-même d’une indemnité pour tort moral de 1'500 fr., ainsi que le versement d’une somme de 300 fr. à titre de dédommagement pour ses lunettes cassées. 5.2 Aux termes de l’art. 331 al. 2 CPP, la direction de la procédure fixe en même temps un délai aux parties pour présenter et motiver leurs réquisitions de preuves en attirant leur intention sur les frais et indemnités qu’entraine le non-respect du délai. Elle fixe le même délai à la partie plaignante pour chiffrer et motiver ses conclusions civiles (cf. art. 123 al. 2 CPP dans sa teneur en vigueur depuis le 1er janvier 2024 [RO 2023 469]).</w:t>
      </w:r>
    </w:p>
    <w:p>
      <w:r>
        <w:t>- 24 - 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5.3 En l’espèce, par citation à comparaître du 17 mai 2024, I.________ a été invité à chiffrer et motiver ses conclusions civiles dans un délai au 7 juin 2024, qui a ensuite été prolongé, à sa demande, au 20 juin 2024 (P. 30). Or, en ne déposant ses conclusions civiles qu’aux débats de première instance (P. 42), soit le 8 juillet 2024 I.________ n’a pas respecté le délai fixé en application de l’art. 331 al. 2 CPP. Partant, I.________ sera renvoyé à agir par la voie civile (TF 7B_931/2023 du 24 mai 2024 consid. 3.2). 6. Au vu de la condamnation de R.________, l’entier des frais de justice de première instance sera mis à sa charge (art. 426 al. 1 CPP). I.________ a requis en première instance qu’une indemnité au sens de l’art. 429 CPP à hauteur de 1'000 fr. lui soit allouée. Le montant articulé est adéquat. En vertu du parallélisme entre les frais et les indemnités, cette indemnité sera mise à la charge de R.________ (art. 430 al. 1 let. b et 432 al. 2 CPP). 7. Au vu de ce qui précède, l’appel d’I.________ doit être partiellement admis, et le jugement entrepris réformé dans le sens des considérants. Me François Gillard, conseil d’office d’I.________, a produit une liste d’opérations dans laquelle il indique une activité nécessaire d’avocat</w:t>
      </w:r>
    </w:p>
    <w:p>
      <w:r>
        <w:t>- 25 - de 9 heures, audience d’appel comprise. La durée de celle-ci devant être revue à la baisse, l’indemnité due sera dès lors fixée à 1'419 fr. (7h53 x 180 fr.), plus des débours forfaitaires, par 28 fr. 38, deux vacations à 120 fr. et la TVA sur le tout à 8,1 % par 136 fr. 67, soit à un total de 1'824 fr. 05. Me Raphaël Hämmerli, défenseur d’office de R.________, a produit une liste d’opérations dans laquelle il indique une activité nécessaire d’avocat de 5h30, y compris l’estimation de la durée de l’audience d’appel et temps dévolu à plusieurs correspondances « non facturables ». L’indemnité due sera dès lors fixée 699 fr. (3h53 x 180 fr.), plus des débours forfaitaires, par 13 fr. 98, une vacation à 120 fr. et la TVA sur le tout à 8,1 %, par 67 fr. 47, soit à un total de 900 fr. 45. Vu l’issue de la cause, les frais de la procédure d’appel, constitués des émoluments de jugement et d’audience, par 2’270 fr. (art. 21 al. 1 et 2 TFIP [tarif des frais de procédure et indemnités en matière pénale du 28 septembre 2010 ; BLV 312.03.1]), et des indemnités de défenseur d’office et de conseil d’office, seront mis à la charge de l’intimé, qui succombe entièrement (art. 428 al. 1, 1re phr.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