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PE23.009128 vom 5. Februar 2025</w:t>
      </w:r>
    </w:p>
    <w:p>
      <w:r>
        <w:t>VD Tribunal cantonal, 2025-02-05, FR</w:t>
      </w:r>
    </w:p>
    <w:p>
      <w:r>
        <w:rPr>
          <w:b/>
        </w:rPr>
        <w:t xml:space="preserve">Quelle: </w:t>
      </w:r>
      <w:r>
        <w:t>https://mcp.opencaselaw.ch/entscheid/vd_gerichte_PE23.009128</w:t>
      </w:r>
    </w:p>
    <w:p>
      <w:r>
        <w:t>FR: VD_GERICHTE PE23.009128 du 5 février 2025</w:t>
      </w:r>
    </w:p>
    <w:p>
      <w:r>
        <w:t>IT: VD_GERICHTE PE23.009128 del 5 febbraio 2025</w:t>
      </w:r>
    </w:p>
    <w:p>
      <w:pPr>
        <w:pStyle w:val="Heading2"/>
      </w:pPr>
      <w:r>
        <w:t>Erwägungen</w:t>
      </w:r>
    </w:p>
    <w:p>
      <w:r>
        <w:rPr>
          <w:b/>
        </w:rPr>
        <w:t>E. 18</w:t>
      </w:r>
    </w:p>
    <w:p>
      <w:r>
        <w:t>octobre 2024 de la DGEJ au Tribunal d’arrondissement de La Côte (P. 33/2, p. 2) et rapports du Département de psychiatrie – service de l’enfant et de l’adolescent du CHUV des 5 novembre 2024 concernant B.Y.________ et A.Y.________ (P. 33/3) – viennent seulement corroborer le constat que les parents n’ont pas su préserver leurs filles du conflit conjugal. Ce moyen doit donc également être rejeté.</w:t>
      </w:r>
    </w:p>
    <w:p>
      <w:r>
        <w:t>- 16 - Il résulte de ce qui précède que les faits ont été retenus sans violation de la présomption d’innocence, ni violation de l’art. 219 CP. L’appel doit donc être rejeté sur ces points. 4. 4.1 L’appelante invoque une violation de la maxime d’accusation en ce sens que l’acte d’accusation serait insuffisant pour retenir l’application de l’art. 219 CP. 4.2 4.2.1.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TF 6B_950/2024 du 10 juillet 2025 consid. 1.1.3).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 TF 6B_950/2024 précité). 4.2.2 Les articles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w:t>
      </w:r>
    </w:p>
    <w:p>
      <w:r>
        <w:t>- 17 - d'accusation doit contenir les faits qui, de l'avis du ministère public, correspondent à tous les éléments constitutifs de l'infraction reprochée au prévenu (ATF 143 IV 63 précité). L’acte d’accusation définit l’objet du procès et sert également à informer le prévenu (fonctions de délimitation et d’informations ; ATF 143 IV 63 précité ; TF 6B_950/2024 précité). 4.2.3 S’agissant de l’application de l’art. 219 CP, il y a lieu de se référer au considérant 3.2.2 supra. 4.3 En l’espèce, et contrairement à ce que tente de soutenir l’appelante, l’acte d’accusation décrit précisément les actes de maltraitance (violence physique et verbale) ainsi que leurs conséquences sur A.Y.________ et B.Y.________, soit des « répercussions néfastes (…) notamment du stress, ainsi que la crainte de rester à domicile ». De plus, il est indéniable, au vu de la durée de l’activité délictueuse qui est précisée et le nombre d’actes commis, que l’appelante était suffisamment renseignée sur l’accusation portée à son encontre et les agissements reprochés, de sorte qu’elle pouvait efficacement préparer sa défense. On ne décèle ainsi aucune violation de la maxime d’accusation au sens de l’art. 9 CPP. Il résulte de ce qui précède que l’appel doit être rejeté sur ce point également. 5. 5.1 Concluant à son acquittement du chef d’accusation de l’art. 219 CP, l’appelante conteste sa condamnation à une peine pécuniaire. En outre, elle sollicite qu’une amende d’un montant inférieur à celle infligée par l’autorité de première instance soit prononcée. Subsidiairement, elle fait valoir que la peine pécuniaire est excessive. 5.2 5.2.1 Selon l’art. 47 CP, le juge fixe la peine d’après la culpabilité de l’auteur. Il prend en considération les antécédents et la situation personnelle de ce dernier ainsi que l’effet de la peine sur son avenir (al. 1).</w:t>
      </w:r>
    </w:p>
    <w:p>
      <w:r>
        <w:t>- 18 -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5.2.2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w:t>
      </w:r>
    </w:p>
    <w:p>
      <w:r>
        <w:t>- 19 - conscience de la faute peut justifier un pronostic défavorable, car seul celui qui se repent de son acte mérite la confiance que l'on doit pouvoir accorder au condamné bénéficiant du sursis. Dans l'émission du pronostic, le juge dispose d'un large pouvoir d'appréciation (TF 6B_321/2025 du 25 juin 2025 consid. 2.1). En application de l’art. 44 al. 1 CP, si le juge suspend totalement ou partiellement l’exécution d’une peine, il impartit au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Petit commentaire du Code pénal, 2e éd., Bâle 2017, n. 2 ad art. 44 CP et les références citées). 5.3 L’appelante étant condamnée pour violation du devoir d’assistance ou d’éducation et voies de fait qualifiées, c’est une peine pécuniaire ainsi qu’une amende qu’il convient de prononcer. Comme retenu par la première juge, la culpabilité de l’appelante est importante. Les faits sont graves. Elle s’en est prise lâchement et de manière totalement disproportionnée à ses filles dès leur plus jeune âge, puisque A.Y.________ n’avait pas encore six ans et B.Y.________ avait tout juste quatre ans, et ce, de manière répétée jusqu’à leurs 13, respectivement 12 ans. Elle les a violentées pour des motifs aussi futiles que leur manque de discipline, leurs mauvaises notes à l’école ou ce qu’elle avait ressenti comme des remises en question de son autorité, soit des situations des plus banales de la vie de famille, et qui ne sauraient justifier de tels actes ou propos. Au demeurant, les sévices n’ont cessé que lorsque les filles ont dénoncé ces agissements à la police et à la DGEJ et que leur garde a été transférée à leur père. Si elle a admis un certain nombre de faits, l’appelante a persisté, aux débats de première instance, à en nier d’autres et, dans l’ensemble, elle les a minimisés tant dans leur intensité que dans leur fréquence, les qualifiant de « petits gestes » et de « petites infractions ». Pire encore, elle n’a cessé se soutenir que ses filles n’en n’avaient pas souffert et qu’il leur arrivait même de plaisanter au sujet des</w:t>
      </w:r>
    </w:p>
    <w:p>
      <w:r>
        <w:t>- 20 - coups de ceinture. L’appelante n’assume manifestement pas la responsabilité ni de ses gestes, ni de ses paroles – elle persiste, comme déjà rapporté et déploré à maintes reprises par les intervenants concernés par la situation de A.Y.________ et B.Y.________ sur le plan civil, à faire porter la responsabilité de ses propres défaillances au père, et le fait du reste encore au stade de l’appel, lorsqu’elle tente de soutenir qu’il serait « hautement délicat, sinon impossible » d’affirmer que les faits reprochés seraient à l’origine d’une mise en danger du développement de ses filles dès lors qu’ils se seraient inscrits dans un conflit avec C.Y.________ – et ne mesure indubitablement pas la souffrance physique et psychologique qu’elle a infligé à ses filles de par le stress permanent qu’elles vivaient à la maison d’une nouvelle réprimande de sa part. Son absence de prise de conscience est d’autant plus inquiétante qu’elle a exercé durant dix ans en qualité de maman de jour, se dit formée aux méthodes d’éducation bienveillante et assure la prise en charge prépondérante de sa fille cadette [...], désormais âgée de 6 ans. Ainsi, contrairement à ce que pense l’appelante, même si le tribunal a pris en compte son état d’épuisement, le fait qu’elle est désormais suivie sur le plan thérapeutique et semble collaborer adéquatement avec la DGEJ, la peine pécuniaire de 140 jours-amende, à 30 fr. le jour, et l’amende de 2'000 fr. – convertible en une peine privative de liberté de substitution de 20 jours –, auxquelles elle a été condamnée en première instance, apparaissent très clémentes et doivent être confirmées faute de reformatio in pejus. Les conditions objectives et subjectives du sursis étant réalisées – il s’agit de la première condamnation de l’appelante, elle est à présent soutenue par le foyer de B.Y.________ et la DGEJ et bénéficie, tout comme ses filles, d’un suivi psychiatrique – celui-ci lui sera accordé. Il sera toutefois supérieur au minimum légal, soit d’une durée de trois ans, pour s’assurer que l’appelante renonce sur le long terme à un tel comportement sur ses filles, la dernière étant encore très jeune et l’ainée étant venue revivre à la maison.</w:t>
      </w:r>
    </w:p>
    <w:p>
      <w:r>
        <w:t>- 21 - 6. L’appelante étant condamnée, sa conclusion tendant à ce que les frais de la cause soient mis par 1/5e – subsidiairement 2/5e au vu de sa libération du chef d’accusation de lésions corporelles simples notamment – à sa charge, doit être rejeté. On précisera que la conclusion subsidiaire ne se justifie pas dès lors que l’appelante n’a été libéré de ce chef d’accusation qu’au bénéfice d’un autre, soit les voies de fait qualifiées, et qu’on ne distingue en définitive aucun acte illicite pour lequel elle a été libérée. 7. En conclusion, l’appel de X.________ doit être rejeté et le jugement du 5 février 2025 confirmé. Me Mathias Micsiz a produit une liste d’opérations faisant état de 7h39 d’activité d’avocate-stagiaire et de 30 minutes d’activité d’avocat, dont il n’y a pas lieu de s’écarter. Son indemnité sera donc fixée à 931 fr. 50, le tarif horaire étant de 180 fr. pour l’avocat breveté et 110 fr. pour l’avocate-stagiaire (art. 2 al. 1 let. a et b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18 fr. 63, une vacation par 80 fr. et la TVA au taux de 8,1 % sur le tout, par 83 fr. 44. L’indemnité s’élève ainsi au total à 1'113 fr. 57. Vu l’issue de la cause, les frais d’appel, par 3’493 fr. 57, constitués des émoluments de jugement et d’audience, par 2’380 fr. (18 pages de jugement et 400 fr. d’audience [art. 21 al. 1 et 2 TFIP]), ainsi que de l’indemnité précitée, seront mis à la charge de X.________ qui succombe (art. 428 al. 1 CPP). X.________ sera tenue de rembourser à l’Etat de Vaud le montant de l’indemnité en faveur de son défenseur d’office lorsque sa situation financière le permettra (art. 135 al. 4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