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PE23.009107 vom 21. November 2023</w:t>
      </w:r>
    </w:p>
    <w:p>
      <w:r>
        <w:t>VD Tribunal cantonal, 2023-11-21, FR</w:t>
      </w:r>
    </w:p>
    <w:p>
      <w:r>
        <w:rPr>
          <w:b/>
        </w:rPr>
        <w:t xml:space="preserve">Quelle: </w:t>
      </w:r>
      <w:r>
        <w:t>https://mcp.opencaselaw.ch/entscheid/vd_gerichte_PE23.009107</w:t>
      </w:r>
    </w:p>
    <w:p>
      <w:r>
        <w:t>FR: VD_GERICHTE PE23.009107 du 21 novembre 2023</w:t>
      </w:r>
    </w:p>
    <w:p>
      <w:r>
        <w:t>IT: VD_GERICHTE PE23.009107 del 21 novembre 2023</w:t>
      </w:r>
    </w:p>
    <w:p>
      <w:pPr>
        <w:pStyle w:val="Heading2"/>
      </w:pPr>
      <w:r>
        <w:t>Erwägungen</w:t>
      </w:r>
    </w:p>
    <w:p>
      <w:r>
        <w:rPr>
          <w:b/>
        </w:rPr>
        <w:t>E. 6</w:t>
      </w:r>
    </w:p>
    <w:p>
      <w:r>
        <w:t>Au vu de ce qui précède, le recours, manifestement mal fondé, doit être rejeté sans échange d'écritures (art. 390 al. 2 CPP) et l'ordonnance entreprise confirmée. Compte tenu de la nature de l’affaire et de l’acte de recours déposé, l’indemnité allouée au défenseur d’office de B.________ sera fixée à 540 fr., correspondant à une activité nécessaire d’avocat de trois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w:t>
      </w:r>
    </w:p>
    <w:p>
      <w:r>
        <w:t>- 16 - 2010 ; BLV 312.03.1]), par 10 fr. 80, et la TVA au taux de 7,7 %, par 42 fr. 40, soit à 594 fr. au total en chiffres arrondis. Vu le sort du recours, les frais de la procédure, constitués en l’espèce de l’émolument d'arrêt, par 1’650 fr. (art. 20 al. 1 TFIP), et des frais imputables à la défense d’office de B.________ (art. 422 al. 1 et 2 let. a CPP), fixés à 594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6 novembre 2023 est confirmée. III. L’indemnité allouée au défenseur d’office de B.________ est fixée à 594 fr. (cinq cent nonante-quatre francs). IV. Les frais d’arrêt, par 1’650 fr. (mille six cent cinquante francs), ainsi que l’indemnité due au défenseur d’office du recourant, par 594 fr. (cinq cent nonante-quatre francs), sont mis à la charge de B.________. V. Le remboursement à l’Etat de l’indemnité allouée au chiffre III ci-dessus ne sera exigible que pour autant que la situation financière de B.________ le permette. VI. L’arrêt est exécutoire. La présidente : La greffière :</w:t>
      </w:r>
    </w:p>
    <w:p>
      <w:r>
        <w:t>- 17 - Du Le présent arrêt, dont la rédaction a été approuvée à huis clos, est notifié, par l'envoi d'une copie complète, à : - Me Quentin Beausire, avocat (pour B.________), - Ministère public central, et communiqué à : - M. le Président du Tribunal des mesures de contrainte, - M. le Procureur cantonal, Division affaires spéciales, - Service de la population ([...]2002)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