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PE23.009054 vom 9. Juli 2024</w:t>
      </w:r>
    </w:p>
    <w:p>
      <w:r>
        <w:t>VD Tribunal cantonal, 2024-07-09, FR</w:t>
      </w:r>
    </w:p>
    <w:p>
      <w:r>
        <w:rPr>
          <w:b/>
        </w:rPr>
        <w:t xml:space="preserve">Quelle: </w:t>
      </w:r>
      <w:r>
        <w:t>https://mcp.opencaselaw.ch/entscheid/vd_gerichte_PE23.009054</w:t>
      </w:r>
    </w:p>
    <w:p>
      <w:r>
        <w:t>FR: VD_GERICHTE PE23.009054 du 9 juillet 2024</w:t>
      </w:r>
    </w:p>
    <w:p>
      <w:r>
        <w:t>IT: VD_GERICHTE PE23.009054 del 9 luglio 2024</w:t>
      </w:r>
    </w:p>
    <w:p>
      <w:pPr>
        <w:pStyle w:val="Heading2"/>
      </w:pPr>
      <w:r>
        <w:t>Erwägungen</w:t>
      </w:r>
    </w:p>
    <w:p>
      <w:r>
        <w:rPr>
          <w:b/>
        </w:rPr>
        <w:t>E. 1</w:t>
      </w:r>
    </w:p>
    <w:p>
      <w:r>
        <w:t>Interjeté dans les formes et délais légaux (art. 399 CPP [Code de procédure pénale suisse du 5 octobre 2007 ; RS 312.0]) par une partie qui a la qualité pour recourir contre le jugement d'un tribunal de première instance ayant clos la procédure (art. 398 al. 1 CPP), l'appel de A.W.________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L’appelant conteste sa condamnation pour menaces qualifiées. En particulier, il conteste la version des faits telle que retenue par le premier juge.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- 11 - La présomption d'innocence, garantie par les art. 10 CPP, 32 al. 1 Cst. (Constitution fédérale de la Confédération suisse du 18 avril 1999 ; RS 101), 14 par. 2 Pacte ONU II (Pacte international relatif aux droits civils et politiques du 16 décembre 1966 ; RS 0.103.2) et 6 par. 2 CEDH (Convention de sauvegarde des droits de l’homme et des libertés fondamentales du 4 novembre 1950 ; RS 0.101),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145 IV 154 consid. 1.1 p. 155 s. et les références citées).</w:t>
      </w:r>
    </w:p>
    <w:p>
      <w:r>
        <w:rPr>
          <w:b/>
        </w:rPr>
        <w:t>E. 3.2.2</w:t>
      </w:r>
    </w:p>
    <w:p>
      <w:r>
        <w:t>Aux termes de l'art. 180 al. 1 CP, quiconque, par une menace grave, alarme ou effraie une personne est, sur plainte, puni d'une peine privative de liberté de trois ans au plus ou d'une peine pécuniaire. Afin de tenir compte du besoin particulier de protection du conjoint, l’art. 180 al. 2 let. a CP prévoit que la poursuite a lieu d’office si l’auteur est le conjoint de la victime et que la menace a été commise durant le mariage ou dans l’année qui a suivi le divorce. La menace suppose que l'auteur ait volontairement fait redouter à sa victime la survenance d'un préjudice, au sens large (ATF 122 IV 97 consid. 2b). Elle constitue un moyen de pression psychologique</w:t>
      </w:r>
    </w:p>
    <w:p>
      <w:r>
        <w:t>- 12 - consistant à annoncer un dommage futur dont la réalisation est présentée comme dépendante de la volonté de l'auteur, sans toutefois qu'il soit nécessaire que cette dépendance soit effective (cf. ATF 117 IV 445 consid. 2b ;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p. 3 ; TF 6B_1314/2018 du 29 janvier 2019 consid. 3.2.1). Subjectivement, l'auteur doit avoir l'intention non seulement de proférer des menaces graves, mais aussi d'alarmer ou d'effrayer le destinataire. Le dol éventuel suffit (TF 6B_1314/2018 du 29 janvier 2019 consid. 3.2.1 ; TF 6b_787/2018 du 1er octobre 2018 consid. 3.1).</w:t>
      </w:r>
    </w:p>
    <w:p>
      <w:r>
        <w:rPr>
          <w:b/>
        </w:rPr>
        <w:t>E. 3.3</w:t>
      </w:r>
    </w:p>
    <w:p>
      <w:r>
        <w:t>Pour asseoir sa conviction, le premier juge a relevé la constance des déclarations de la plaignante au fil des auditions. Il a également mis en exergue qu’elle était apparue sincère et encore émue par la situation lors des débats et que ses propos étaient modérés. Puis, il a indiqué qu’il ne discernait pas l’intérêt de B.W.________ à mentir, dès lors qu’elle ne s’était pas opposée à la suspension de la procédure pénale pour une durée de six mois, qu’elle n’avait volontairement pas pris de conclusions civiles et qu’il n’y avait pas d’enjeu sur le plan civil des mesures protectrices de l’union conjugale, le prévenu ayant volontairement renoncé à voir ses enfants depuis la séparation, alors que le couple était convenu d’un droit de visite usuel. Ainsi, le premier juge a retenu que les explications de la plaignante étaient crédibles, constantes</w:t>
      </w:r>
    </w:p>
    <w:p>
      <w:r>
        <w:t>- 13 - et modérées. En revanche, il a considéré que les déclarations du prévenu étaient lacunaires, voire contradictoires, et qu’il se perdait dans de nombreuses explications difficilement compréhensibles. La Cour partage cette analyse. On doit relever que l’appelant a notamment reconnu, lors de son audition par la police, avoir déclaré : « Si tu ne pars pas, je vais finir par te frapper et te violer ! » et « Si tu ne pars pas je vais être violent. » (P. 4, p. 5), ce qui est objectivement et subjectivement de nature à effrayer quiconque. Cela étant, A.W.________ n’est pas crédible lorsqu’il justifie ces déclarations par le maniement de l’ironie ; son explication selon laquelle il aurait eu par le passé « le sentiment d’être un violeur à ses yeux » (PV aud. 2, l. 105), en raison de bisous non consentis donnés dans le cou et le dos de son épouse pendant son sommeil n’est pas vraisemblable. Par ailleurs, l’appelant n’explique pas où se trouve l’ironie lorsqu’il menace son épouse de violences physiques. Aux débats d’appel, l’appelant a maladroitement tenté d’expliquer que la violence n’était pas dirigée contre son épouse. La Cour ne voit pas contre qui d’autre l’appelant aurait pu se montrer violent au vu du contexte conjugal de l’époque. L’explication fournie par l’appelant n’est pas convaincante. On peut aussi voir que l’appelant a traité son épouse par messages WhatsApp de « salope » « connasse » et « sale putain » (PV aud. 1, annexe). Ce qui précède accrédite la version de l’intimée, selon laquelle elle a été effrayée par les menaces de son époux, au demeurant objectivement graves en soi. En outre, B.W.________ a exposé qu’elle avait depuis lors commencé à fermer la porte de sa chambre à clé pendant la nuit (cf. jgmt, p. 4), si bien qu’elle considérait la réalisation du préjudice craint comme possible. Il s’ensuit que le comportement de l’appelant réalise les éléments constitutifs objectifs et subjectifs de l’infraction de menaces qualifiées, celles-ci ayant été proférées durant le mariage. Il importe peu que l’appelant ait eu ou non réellement la volonté de réaliser ses menaces, seule l’intention de lui faire redouter un tel préjudice étant déterminante. Partant, la Cour retient pour établis les faits tels qu’ils ressortent de l’acte d’accusation (cas 1 et 3).</w:t>
      </w:r>
    </w:p>
    <w:p>
      <w:r>
        <w:t>- 14 - Le moyen doit donc être rejeté et la condamnation de A.W.________ pour menaces qualifiées confirmée.</w:t>
      </w:r>
    </w:p>
    <w:p>
      <w:r>
        <w:rPr>
          <w:b/>
        </w:rPr>
        <w:t>E. 4.1</w:t>
      </w:r>
    </w:p>
    <w:p>
      <w:r>
        <w:t>; TF 6B_796/2016 du 15 mai 2017 consid. 2.2.2 ; TF 6B_392/2013 du 4 novembre 2013 consid. 2.3). Tel est le cas dans le canton de Vaud depuis le 1er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w:t>
      </w:r>
    </w:p>
    <w:p>
      <w:r>
        <w:t>- 17 - est de 250 fr. au minimum et de 350 fr. au maximum pour l’activité déployée par un avocat (art. 26a al. 3 ab initio TFIP). Il est de 160 fr. pour l’activité déployée par un avocat stagiaire (art. 26a al. 3 in fine TFIP). Selon la jurisprudence constante, pour une affaire de difficulté simple à moyenne, l’indemnisation est fixée au tarif horaire de 250 fr. à 350 fr. pour un avocat (CAPE 16 décembre 2024/480 ; CAPE 25 avril 2022/171 ; CAPE 12 décembre 2019/428 ; CAPE 21 novembre 2018/384).</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TF 6B_1237/2023 du 13 mars 2024 consid. 1.1).</w:t>
      </w:r>
    </w:p>
    <w:p>
      <w:r>
        <w:rPr>
          <w:b/>
        </w:rPr>
        <w:t>E. 4.3</w:t>
      </w:r>
    </w:p>
    <w:p>
      <w:r>
        <w:t>A l’instar du premier juge, la Cour de céans considère que la culpabilité de l’appelant est assez importante. On relèvera, avec le premier juge que l’appelant a menacé à deux reprises son épouse, pour qui la peur de faire l’objet de violences physiques ou sexuelles était très réelle. Ensuite, lors des débats de deuxième instance, l’appelant a persisté</w:t>
      </w:r>
    </w:p>
    <w:p>
      <w:r>
        <w:t>- 15 - à justifier ou minimiser ses menaces en vain, sans se remettre véritablement en question, en particulier quant à la violence de ses propos et l’effet que ceux-ci ont pu avoir sur son épouse. Il a en outre un antécédent. Aucun élément n’est à décharge. Au vu de la faute commise par l’appelant, la peine pécuniaire de 40 jours-amende à 100 fr. le jour avec sursis pendant deux ans, ainsi que l’amende de 900 fr. prononcée à titre de sanction immédiate (art. 42 al. 4 CP) et la peine privative de liberté de substitution en cas de non-paiement fautif de 9 jours, répriment adéquatement le comportement litigieux de l’appelant et doivent être confirmées.</w:t>
      </w:r>
    </w:p>
    <w:p>
      <w:r>
        <w:rPr>
          <w:b/>
        </w:rPr>
        <w:t>E. 5.1</w:t>
      </w:r>
    </w:p>
    <w:p>
      <w:r>
        <w:t>L’appelant conclut, en tout état, à ce que l’intégralité des frais de procédure soient mis à la charge de l’Etat et à ce qu’une indemnité pour les dépenses occasionnées par l’exercice raisonnable de ses droits de procédure lui soit octroyée.</w:t>
      </w:r>
    </w:p>
    <w:p>
      <w:r>
        <w:rPr>
          <w:b/>
        </w:rPr>
        <w:t>E. 5.2.1</w:t>
      </w:r>
    </w:p>
    <w:p>
      <w:r>
        <w:t>L’art. 426 al. 1 CPP prévoit que le prévenu supporte les frais de procédure s'il est condamné. Font exception les frais afférents à la défense d'office ; l'art. 135, al. 4 CPP est réservé.</w:t>
      </w:r>
    </w:p>
    <w:p>
      <w:r>
        <w:rPr>
          <w:b/>
        </w:rPr>
        <w:t>E. 5.2.2</w:t>
      </w:r>
    </w:p>
    <w:p>
      <w:r>
        <w:t>Selon l'art. 429 al. 1 let. a CPP, si le prévenu est acquitté totalement ou en partie ou s'il bénéficie d'une ordonnance de classement, il a droit à une indemnité fixée conformément au tarif des avocats, pour les dépenses occasionnées par l'exercice raisonnable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w:t>
      </w:r>
    </w:p>
    <w:p>
      <w:r>
        <w:t>- 16 -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 ATF 138 IV 197 consid. 2.3.5 ; TF 6B_938/2018 du 28 novembre 2018 consid. 1.1). L’indemnité visée par l’art. 429 al. 1 let. a CPP doit correspondre au tarif usuel du barreau applicable dans le canton où la procédure se déroule et englober la totalité des coûts de défense (ATF 142 IV 163 consid. 3.2.1 ; TF 6B_1459/2021 du 24 novembre 2022 consid. 4.1.3).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6B_1459/2021 précité consid.4.1.3 ; TF 6B_111/2017 du 17 octobre 2017 consid.</w:t>
      </w:r>
    </w:p>
    <w:p>
      <w:r>
        <w:rPr>
          <w:b/>
        </w:rPr>
        <w:t>E. 5.3</w:t>
      </w:r>
    </w:p>
    <w:p>
      <w:r>
        <w:t>En l’espèce, compte tenu de la confirmation de la condamnation de l’appelant, il n’y a pas lieu de revenir sur la répartition des frais judiciaires de première instance, qui est au demeurant appropriée. S’agissant de l’indemnité pour les dépenses occasionnées par l’exercice raisonnable des droits de procédure du prévenu, le Tribunal de police a retenu que la condamnation envisagée était de peu d’importance, que le prévenu n’avait pas fait valoir qu’il y aurait d’autres enjeux, que la procédure n’avait pas duré très longtemps et qu’il ne se posait pas de question de procédure ou de question factuelle complexes. Il est vrai que la gravité de l’infraction en cause n’est pas très importante. Il s’agit toutefois d’un délit. En outre, l’appelant, médecin de profession, a fait l’objet d’un signalement auprès de la Cheffe du Département de la Santé et de l’Action sociale (P. 9) et était suivi par un psychiatre pour ses difficultés conjugales. Il apparait donc raisonnable que le prévenu recoure à un avocat. Partant, une indemnité fondée sur l’art. 429 al. 1 let. a CPP doit être allouée à Me Maxime Rocafort, défenseur privé de A.W.________ (art. 429 al. 3 CPP). En première instance, le prévenu réclamait une indemnité de 4'340 fr., sur la base d’une liste d’opérations faisant état de 12 heures et 24 minutes d’activité au tarif horaire de 350 fr. (P. 28). Compte tenu du sort des frais judiciaires et de l’absence de difficulté particulière de la</w:t>
      </w:r>
    </w:p>
    <w:p>
      <w:r>
        <w:t>- 18 - cause, il convient de tenir compte d’une durée de 4 heures, soit un tiers des 12 heures chiffrées par le défenseur de choix de l’appelant, au tarif horaire de 250 fr. (art. 26a al. 3 TFIP), ce qui donne des honoraires de 1'000 fr., auxquels il faut ajouter des débours forfaitaires de 5 %, par 50 fr., et la TVA sur le tout, au taux de 8,1 %, par 80 fr. 85, ce qui totalise en définitive une indemnité de 1'130 fr. 85, à la charge de l’Etat. Le dispositif notifié aux parties, omettant à tort de tenir compte des débours et de la TVA dans la fixation de l’indemnité précitée, doit être rectifié d’office en ce sens (art. 83 CPP).</w:t>
      </w:r>
    </w:p>
    <w:p>
      <w:r>
        <w:rPr>
          <w:b/>
        </w:rPr>
        <w:t>E. 6</w:t>
      </w:r>
    </w:p>
    <w:p>
      <w:r>
        <w:t>En définitive, l’appel de A.W.________ doit être très partiellement admis et le jugement entrepris réformé dans le sens des considérants qui précèdent. Vu l’issue de la cause, les frais de la procédure d’appel, par 1’720 fr. constitués de l’émolument d’audience, par 400 fr. et de l’émolument de jugement, par 1’320 fr. (art. 21 al. 1 et 2 TFIP), seront mis par trois quarts à la charge de A.W.________, soit par 1'290 fr., le solde étant laissé à la charge de l’Etat. Faute de liste d’opérations produite, il n’y a pas lieu d’octroyer à Me Maxime Rocafort une indemnité au sens de l’art. 429 al. 1 let. a CPP dans le cadre de la procédure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