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PE23.008963 vom 2. August 2024</w:t>
      </w:r>
    </w:p>
    <w:p>
      <w:r>
        <w:t>VD Tribunal cantonal, 2024-08-02, FR</w:t>
      </w:r>
    </w:p>
    <w:p>
      <w:r>
        <w:rPr>
          <w:b/>
        </w:rPr>
        <w:t xml:space="preserve">Quelle: </w:t>
      </w:r>
      <w:r>
        <w:t>https://mcp.opencaselaw.ch/entscheid/vd_gerichte_PE23.008963</w:t>
      </w:r>
    </w:p>
    <w:p>
      <w:r>
        <w:t>FR: VD_GERICHTE PE23.008963 du 2 août 2024</w:t>
      </w:r>
    </w:p>
    <w:p>
      <w:r>
        <w:t>IT: VD_GERICHTE PE23.008963 del 2 agosto 2024</w:t>
      </w:r>
    </w:p>
    <w:p>
      <w:pPr>
        <w:pStyle w:val="Heading2"/>
      </w:pPr>
      <w:r>
        <w:t>Erwägungen</w:t>
      </w:r>
    </w:p>
    <w:p>
      <w:r>
        <w:rPr>
          <w:b/>
        </w:rPr>
        <w:t>E. 5.1</w:t>
      </w:r>
    </w:p>
    <w:p>
      <w:r>
        <w:t>En plaidant l’acquittement du chef de prévention de contrainte sexuelle et sa condamnation pour la seule infraction à la LEI, U.________ estime qu’il doit être condamné à une peine pécuniaire maximale de 60 jours-amende à 30 fr., très partiellement complémentaire à celle infligée le 13 décembre 2022 par le Ministère public de l’arrondissement de Lausanne. Il estime également que les sursis qui lui ont été accordés les 7 juin 2019 par le Tribunal correctionnel de l’Est vaudois et 13 décembre 2022 par le Ministère public de l’arrondissement de Lausanne ne sauraient être révoqués.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- 30 -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w:t>
      </w:r>
    </w:p>
    <w:p>
      <w:r>
        <w:t>- 31 - 3.3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w:t>
      </w:r>
    </w:p>
    <w:p>
      <w:r>
        <w:rPr>
          <w:b/>
        </w:rPr>
        <w:t>E. 5.2.3</w:t>
      </w:r>
    </w:p>
    <w:p>
      <w:r>
        <w:t>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Par « peine révoquée », il faut entendre la peine dont le sursis est révoqué, ainsi que cela ressort du texte italien (CAPE 14 août 2024/304 consid. 8.1).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w:t>
      </w:r>
    </w:p>
    <w:p>
      <w:r>
        <w:t>- 32 - prolongé. Si la prolongation intervient après l’expiration du délai d’épreuve, elle court dès le jour où elle est ordonnée (al.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w:t>
      </w:r>
    </w:p>
    <w:p>
      <w:r>
        <w:rPr>
          <w:b/>
        </w:rPr>
        <w:t>E. 5.3</w:t>
      </w:r>
    </w:p>
    <w:p>
      <w:r>
        <w:t>Le tribunal de police a en substance considéré que la culpabilité d’U.________, qui avait égoïstement privilégié ses pulsions sexuelles et dont l’absence d’introspection était inquiétante, était importante. A décharge, la première juge a retenu les bons renseignements professionnels de l’intéressé. Ces considérations doivent être suivies. Agissant sans aucun égard pour sa victime, le prévenu a égoïstement et gratuitement profité d’une situation de supériorité physique et psychologique pour assouvir ses envies sexuelles au détriment de M.________, faisant fi de son consentement et l’utilisant comme un objet sexuel. Aux débats d’appel, il ne semblait toujours pas avoir avancé sur le chemin de la prise de conscience ou d’une reconnaissance d’un comportement répréhensible envers les femmes,</w:t>
      </w:r>
    </w:p>
    <w:p>
      <w:r>
        <w:t>- 33 - puisqu’il a continué de contester tant les faits dénoncés par M.________ que le bienfondé de sa précédente condamnation pour contrainte sexuelle et viol ; U.________ s’est par ailleurs posé en victime de fausses accusations de M.________ (P. 31/3 et 46), inversant ainsi les rôles et les responsabilités de cette affaire. Au vu des faits retenus et de la récidive dans le domaine de l’intégrité sexuelle, la contrainte sexuelle doit être réprimée d’une peine privative de liberté de neuf mois, peine qui doit être augmentée de trois mois par l’effet du concours avec le séjour illégal et le travail sans autorisation. Au final, c’est une peine privative de liberté de douze mois qui doit être prononcée. En ce qui concerne le sursis, il ne saurait être accordé, compte tenu de la récidive spéciale d’U.________. Se pose encore la question de la révocation des sursis accordés à l’intéressé les 7 juin 2019 par le Tribunal correctionnel de l’arrondissement de l’Est vaudois et 13 décembre 2022 par le Ministère public de l’arrondissement de Lausanne. Avec l’autorité de première instance, on peut considérer que la peine privative de liberté ferme prononcée dans la présente procédure suffira à détourner l’appelant de la commission de nouvelles infractions. Il sied de préciser que, en vertu de la prohibition de la reformatio in pejus, la non-révocation de ces sursis est de toute manière acquise à U.________. Il convient cependant de prolonger de deux ans et demi le délai d’épreuve du sursis du 7 juin 2019 et d’un an celui du sursis du 13 décembre 2022.</w:t>
      </w:r>
    </w:p>
    <w:p>
      <w:r>
        <w:rPr>
          <w:b/>
        </w:rPr>
        <w:t>E. 6.1</w:t>
      </w:r>
    </w:p>
    <w:p>
      <w:r>
        <w:t>Puisqu’il estime devoir être libéré du chef d’accusation de contrainte sexuelle, U.________ soutient que son expulsion du territoire suisse n’est plus envisageable.</w:t>
      </w:r>
    </w:p>
    <w:p>
      <w:r>
        <w:rPr>
          <w:b/>
        </w:rPr>
        <w:t>E. 6.2</w:t>
      </w:r>
    </w:p>
    <w:p>
      <w:r>
        <w:t>Aux termes de l'art. 66a al. 1 let. h CP, le juge expulse de Suisse, pour une durée de cinq à quinze ans, l'étranger qui est condamné pour contrainte sexuelle (art. 189 CP), quelle que soit la quotité de la peine prononcée à son encontre.</w:t>
      </w:r>
    </w:p>
    <w:p>
      <w:r>
        <w:t>- 34 -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w:t>
      </w:r>
    </w:p>
    <w:p>
      <w:r>
        <w:rPr>
          <w:b/>
        </w:rPr>
        <w:t>E. 6.3</w:t>
      </w:r>
    </w:p>
    <w:p>
      <w:r>
        <w:t>Ressortissant [...], U.________ est né au [...]. Il a vécu les premières années de sa vie dans ce dernier pays, puis a grandi principalement en [...]. Il ne s’est installé en Suisse qu’à l’âge de 27 ans. Actuellement, il vit en [...], chez sa sœur. Ses parents sont décédés. Sa fille vit avec lui et son épouse, toujours domiciliée à [...], leur rend visite une à deux fois par mois.</w:t>
      </w:r>
    </w:p>
    <w:p>
      <w:r>
        <w:t>- 35 - Comme exposé ci-dessus, l’infraction – retenue à l’encontre d’U.________ – contre l’intégrité sexuelle entre dans le catalogue des crimes entraînant une expulsion obligatoire (art. 66a al. 1 let. h CPP). La clause de rigueur de l’art. 66a al. 2 CP ne trouve aucunement application dans le cas d’espèce. L’expulsion ne mettrait en effet pas l’intéressé dans une situation personnelle grave et aucun intérêt privé à demeurer en Suisse ne l’emporte sur l’intérêt public à son expulsion, puisque ses attaches avec la Suisse sont plus que limitées. Partant, l’expulsion d’U.________ du territoire suisse doit être ordonnée. Sa durée sera de douze ans, compte tenu de la gravité des faits qui lui sont reprochés.</w:t>
      </w:r>
    </w:p>
    <w:p>
      <w:r>
        <w:rPr>
          <w:b/>
        </w:rPr>
        <w:t>E. 7</w:t>
      </w:r>
    </w:p>
    <w:p>
      <w:r>
        <w:t>Au vu de la confirmation de la condamnation de l’appelant, il n’y a pas lieu de modifier la mise à sa charge des frais de première instance. En outre, ses conclusions tendant à l’allocation d’une indemnité pour les dépenses occasionnées par l'exercice raisonnable de ses droits de première et deuxième instances (art. 429 al. 1 et 436 al. 1 CPP) et d’indemnités pour tort moral et détention injustifiée (art. 429 al. 1 let. c et 431 al. 1 CPP) doivent être rejetées, respectivement sont sans objet.</w:t>
      </w:r>
    </w:p>
    <w:p>
      <w:r>
        <w:rPr>
          <w:b/>
        </w:rPr>
        <w:t>E. 8</w:t>
      </w:r>
    </w:p>
    <w:p>
      <w:r>
        <w:t>La détention subie par l’appelant depuis le jugement de première instance sera déduite (art. 51 CP).</w:t>
      </w:r>
    </w:p>
    <w:p>
      <w:r>
        <w:rPr>
          <w:b/>
        </w:rPr>
        <w:t>E. 9</w:t>
      </w:r>
    </w:p>
    <w:p>
      <w:r>
        <w:t>En définitive, l’appel d’U.________ doit être rejeté et le jugement entrepris confirmé. Vu l’issue de la cause, les frais de la procédure d’appel, par 3’670 fr., constitués des émoluments de jugement et d’audience (art. 21 al. 1 et 2 TFIP), sont mis à la charge de l’appelant, qui succombe (art. 428 al. 1, 1re phrase, CPP).</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