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PE23.008932 vom 30. September 2025</w:t>
      </w:r>
    </w:p>
    <w:p>
      <w:r>
        <w:t>VD Tribunal cantonal, 2025-09-30, FR</w:t>
      </w:r>
    </w:p>
    <w:p>
      <w:r>
        <w:rPr>
          <w:b/>
        </w:rPr>
        <w:t xml:space="preserve">Quelle: </w:t>
      </w:r>
      <w:r>
        <w:t>https://mcp.opencaselaw.ch/entscheid/vd_gerichte_PE23.008932</w:t>
      </w:r>
    </w:p>
    <w:p>
      <w:r>
        <w:t>FR: VD_GERICHTE PE23.008932 du 30 septembre 2025</w:t>
      </w:r>
    </w:p>
    <w:p>
      <w:r>
        <w:t>IT: VD_GERICHTE PE23.008932 del 30 settembre 2025</w:t>
      </w:r>
    </w:p>
    <w:p>
      <w:pPr>
        <w:pStyle w:val="Heading2"/>
      </w:pPr>
      <w:r>
        <w:t>Erwägungen</w:t>
      </w:r>
    </w:p>
    <w:p>
      <w:r>
        <w:rPr>
          <w:b/>
        </w:rPr>
        <w:t>E. 1</w:t>
      </w:r>
    </w:p>
    <w:p>
      <w:r>
        <w:t>CPP) et dans les formes prescrites (art. 385 al. 1 CPP), le recours est recevable.</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w:t>
      </w:r>
    </w:p>
    <w:p>
      <w:r>
        <w:t>- 5 -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w:t>
      </w:r>
    </w:p>
    <w:p>
      <w:r>
        <w:rPr>
          <w:b/>
        </w:rPr>
        <w:t>E. 2.1.1</w:t>
      </w:r>
    </w:p>
    <w:p>
      <w:r>
        <w:t>Le recourant se prévaut d’une violation du principe in dubio pro duriore. Il considère que les éléments constitutifs des infractions de diffamation et de calomnie seraient réalisés. I.________ aurait manifestement souhaité le dépeindre comme une personne méprisable dans le courrier qu’elle a envoyé à U.________. Elle aurait en outre su que les accusations qu’elle tenait à son encontre étaient fausses et aurait agi de manière consciente et délibérée, animée par un fort ressentiment à son égard. Le fait qu’elle n'ait jamais demandé d’explications au recourant avant d’envoyer le courrier incriminé empêcherait au demeurant de retenir qu’elle avait agi de bonne foi.</w:t>
      </w:r>
    </w:p>
    <w:p>
      <w:r>
        <w:rPr>
          <w:b/>
        </w:rPr>
        <w:t>E. 2.1.2</w:t>
      </w:r>
    </w:p>
    <w:p>
      <w:r>
        <w:t>I.________ conteste avoir eu l’intention de porter atteinte à l’honneur ou à la réputation du recourant. Elle réitère avoir transmis à U.________ le contenu de la conversation du 14 décembre 2022 tel qu’il ressortait de l’application DeepL.</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w:t>
      </w:r>
    </w:p>
    <w:p>
      <w:r>
        <w:t>- 6 -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TF 7B_106/2023 du 1er juillet 2025 consid. 4.2.1 et les références citées).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2.2.2.1</w:t>
      </w:r>
    </w:p>
    <w:p>
      <w:r>
        <w:t>Aux termes de l'art. 173 ch. 1 aCP, sa nouvelle teneur entrée en vigueur depuis le 1er juillet 2023 n’étant pas plus favorable au recourant (art. 2 al. 2 CP),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w:t>
      </w:r>
    </w:p>
    <w:p>
      <w:r>
        <w:t>- 7 - Les art. 173 et 174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Aussi, il est constant qu'en matière d'infractions contre l'honneur, les mêmes termes n'ont pas nécessairement la même portée suivant le contexte dans lequel ils sont employés (ATF 148 IV 409 consid. 2.3.2 ; ATF 145 IV 462 consid. 4.2.3). Selon la jurisprudence, un texte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méprisables la personne visée ; il suffit qu’il ait jeté sur elle le soupçon d’avoir eu un comportement contraire aux règles de l’honneur ou qu’il propage – même en citant sa source ou en affirmant ne pas y croire – de telles accusations ou de tels soupçons (ATF 117 IV 27 consid. 2c ; TF 7B_54/2024 du 7 février 2025 consid. 2.2.3 et les références citées ; TF 6B_425/2024 du 17 janvier 2025 consid. 3.2). Le fait d’accuser une personne d'avoir commis une infraction pénale ou un acte clairement réprouvé par les conceptions généralement admises constitue une atteinte à l’honneur (ATF 148 IV 409 consid. 2.3 ; TF 7B_54/2024 du 7 février 2025 consid. 2.2.3 et les références citées). Du point de vue subjectif, il suffit que l'auteur ait eu conscience du caractère attentatoire à l'honneur de ses propos et qu'il les ait néanmoins proférés ; il n'est pas nécessaire qu'il ait eu la volonté de</w:t>
      </w:r>
    </w:p>
    <w:p>
      <w:r>
        <w:t>- 8 - blesser la personne visée (ATF 137 IV 313 consid. 2.1.6 ; TF 6B_450/2024 du 8 août 2024 consid. 1.1.2 et la référence citée).</w:t>
      </w:r>
    </w:p>
    <w:p>
      <w:r>
        <w:rPr>
          <w:b/>
        </w:rPr>
        <w:t>E. 2.2.2.2</w:t>
      </w:r>
    </w:p>
    <w:p>
      <w:r>
        <w:t>Aux termes de l’art. 173 ch. 2 et 3 aCP,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6B_425/2024 du 17 janvier 2025 consid. 3.2 ; TF 6B_450/2024 du 8 août 2024 consid. 1.1.3).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 ATF 132 IV 112 consid. 3.1 ; TF 6B_450/2024 précité consid. 3.2 et les références citées).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w:t>
      </w:r>
    </w:p>
    <w:p>
      <w:r>
        <w:t>- 9 -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6B_425/2024 précité consid. 3.2). L’exigence de la preuve de la bonne foi est moins stricte si l’auteur souhaite sauvegarder ses intérêts légitimes (Dupuis et al. [éd.], Petit Commentaire, Code pénal, 2e éd., Bâle 2017, n. 38 ad art. 173 CP et les références citées).</w:t>
      </w:r>
    </w:p>
    <w:p>
      <w:r>
        <w:rPr>
          <w:b/>
        </w:rPr>
        <w:t>E. 2.2.3</w:t>
      </w:r>
    </w:p>
    <w:p>
      <w:r>
        <w:t>Se rend coupable de calomnie au sens de l'art. 174 ch. 1 aCP, sa nouvelle teneur entrée en vigueur depuis le 1er juillet 2023 n’étant pas plus favorable au recourant, celui qui, connaissant la fausseté de ses allégations, aura, en s’adressant à un tiers, accusé une personne ou jeté sur elle le soupçon de tenir une conduite contraire à l’honneur, ou de tout autre fait propre à porter atteinte à sa considération, ou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7B_10/2022 du 25 septembre 2023 consid. 4.3.4 et les références citées). Sur le plan objectif, la calomnie implique donc la formulation ou la propagation d'allégations de fait fausses, qui soient attentatoires à l'honneur de la</w:t>
      </w:r>
    </w:p>
    <w:p>
      <w:r>
        <w:t>- 10 - personne visée (TF 6B_1215/2020 du 22 avril 2021 consid. 3.1 et la référence citée).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TF 6B_1215/2020 précité consid. 3.1 et les références citées).</w:t>
      </w:r>
    </w:p>
    <w:p>
      <w:r>
        <w:rPr>
          <w:b/>
        </w:rPr>
        <w:t>E. 2.3</w:t>
      </w:r>
    </w:p>
    <w:p>
      <w:r>
        <w:t>En l’espèce, il ne fait pas de doute qu’accuser une personne de s’être rendu coupable d’une infraction pénale, en l’espèce de tentative d’escroquerie, est attentatoire à son honneur. Pour ce qui est de l’infraction de calomnie, se pose alors la question de savoir si le recourant a effectivement tenus les propos que lui prête la prévenue. Bien que les versions des parties soient diamétralement opposées, la Chambre de céans ne partage pas l’opinion du Ministère public, soit qu’aucune mesure d’instruction ne serait à même de les départager. Les auditions du mari d’I.________ ainsi que de [...] pourraient permettre d’apporter un éclairage sur les propos qui ont été tenus par le recourant lors de la conversation du 14 décembre 2022. Le mari de la prévenue pourrait s’être entretenu avec elle sur le contenu de cette conversation avant qu’elle rédige la lettre litigieuse. [...], qui aurait été présent lors de la conversation, pourrait quant à lui avoir entendu ce que le recourant avait dit. La production par la prévenue de sa police d’assurance responsabilité civile en vigueur au moment des faits, avec indication du montant de sa franchise, ainsi que de tout échange (lettre, courriel, etc.) avec la compagnie d’assurance en lien avec la réparation de la vitre de cheminée pourrait également permettre de confirmer ou infirmer les déclarations des parties. S’agissant de la livraison de mazout, ni le courriel dans lequel le recourant a transmis à la prévenue son estimation du coût de la livraison, ni la facture de la [...] pour la livraison effective n’ont été produits. En l’absence de ces éléments, il n’est pas possible d’évaluer la véracité des propos de la</w:t>
      </w:r>
    </w:p>
    <w:p>
      <w:r>
        <w:t>- 11 - prévenue. Il conviendra donc pour le Ministère public d’en ordonner la production. S’agissant de la diffamation, on constate que le Ministère public n’a pas analysé les conditions auxquelles la prévenue pouvait être admise à faire la preuve libératoire, conformément à l’art. 173 ch. 3 CP. Dans sa lettre du 23 février 2023, en plus des propos litigieux, la prévenue se plaint longuement de défauts concernant notamment les fenêtres, la couverture du jacuzzi, un lavabo, la porte donnant sur la terrasse, certains équipements de la cuisine, la hauteur sous plafond du garage, le revêtement des marches d’escaliers, la porte vitrée de la douche, la clôture du jardin, le vitrage de la cheminée et les tapis des deux chambres. Le ton et la construction de cette lettre tendent notamment à disqualifier le recourant à son insu auprès d’A.________ et de la direction de la gérance P.________ SA. Les comportements litigieux qu’elle accuse le recourant d’avoir adoptés sont immédiatement associés à une prétendue médiocrité de ses travaux dans l’immeuble, qui justifierait selon elle des baisses de loyer ou l’exempterait de prendre en charge des travaux dont les coûts pourraient lui revenir. Le même procédé apparaît dans le dernier paragraphe de la lettre du 6 novembre 2023 adressée par la prévenue au Ministère public (P. 5/1). Au regard de ce qui précède, se pose la question du motif ayant amené la prévenue à tenir ses allégations litigieuses à l’égard du recourant et du dessein qui l’a poussée à agir de la sorte. Cette question devra être analysée par le Ministère public. En outre, il n’apparaît pas en l’état du dossier que la prévenue ait apporté la preuve que ses accusations étaient conformes à la vérité ou qu’elle avait des raisons sérieuses de les tenir de bonne foi pour vraies (art. 173 ch. 2 CP). En effet, s’agissant de la réparation de la vitre de la cheminée, alors qu’elle a elle-même admis que la communication par application interposée était difficile et pouvait déboucher sur des incompréhensions (PV aud. 1 ll. 99 à 103), elle n’a pas établi avoir entrepris la moindre démarche pour s’assurer que ce qu’elle avait cru comprendre était conforme à la réalité. Elle a d’ailleurs déclaré avoir coupé court à la conversation en prétextant avoir une autre assurance (PV</w:t>
      </w:r>
    </w:p>
    <w:p>
      <w:r>
        <w:t>- 12 - aud. 1, ll. 93 et 94), plutôt que de demander au recourant de préciser ses propos. Elle n’a pas non plus évoqué une éventuelle interpellation du recourant ou des vérifications postérieures. Concernant la livraison du mazout, s’il devait s’avérer que la prévenue avait bien été confrontée à des différences de prix importantes – ce que la production du courriel du recourant contenant son estimation du coût de la livraison et de la facture de la [...] permettrait d’établir –, elle n’a pas apporté la preuve qu’elle aurait entrepris des démarches pour en vérifier les éventuelles raisons, notamment en interrogeant le recourant. En définitive, en l’état de l’enquête, la réalisation des éléments constitutifs des infractions de calomnie et diffamation n’est pas claire et nécessite des mesures d’instruction complémentaires. Il convient donc de renvoyer le dossier au Ministère public afin qu’il complète l’instruction par toutes les mesures probatoires nécessaires, notamment en procédant aux auditions du mari de la prévenue et de [...] ainsi qu’en ordonnant la production du contrat d’assurance responsabilité civile de la prévenue en vigueur au moment des faits, des échanges entre la prévenue et sa compagnie d’assurance responsabilité civile en relation avec la réparation de la vitre de la cheminée, du courriel du recourant à la prévenue contenant l’estimation de prix pour la livraison du mazout et de la facture de la [...] relative à la livraison du mazout.</w:t>
      </w:r>
    </w:p>
    <w:p>
      <w:r>
        <w:rPr>
          <w:b/>
        </w:rPr>
        <w:t>E. 3</w:t>
      </w:r>
    </w:p>
    <w:p>
      <w:r>
        <w:t>Au vu de ce qui précède, le recours doit être admis et l’ordonnance entreprise annulée. Le dossier de la cause doit être renvoyé au Ministère public afin qu’il procède dans le sens des considérants. Les frais de recours, constitués en l’espèce du seul émolument d’arrêt, par 1’320 fr. (art. 20 al. 1 TFIP [tarif des frais de procédure et indemnités en matière pénale du 28 septembre 2010 ; BLV 312.03.1]), seront mis à la charge d’I.________ qui succombe dès lors qu’elle a conclu au rejet du recours (art. 428 al. 1 CPP ; TF 7B_438/2024 du 4 décembre 2024 consid. 4.2.1 et les références citées).</w:t>
      </w:r>
    </w:p>
    <w:p>
      <w:r>
        <w:t>- 13 - Le recourant, qui a procédé avec l’assistance d’un conseil de choix et a obtenu gain de cause, a droit à l’octroi d’une indemnité pour les dépenses obligatoires occasionnées par la procédure de recours (art. 433 al. 1 let. a CPP, applicable par renvoi de l’art. 436 al. 1 CPP). Me Agrippino Renda a produit une liste des opérations faisant état de 10 heures d’activité d’avocat breveté au tarif horaire de 450 francs. Il fait valoir 1 heure d’entretien avec son client, 1 heure de prise de connaissance et d’étude du dossier en vue du recours et 8 heures de rédaction du mémoire de recours. Me Renda avait déjà connaissance du dossier dans la mesure où il avait été mandaté durant la procédure devant le Ministère public. L’heure de prise de connaissance du dossier alléguée ne sera donc pas indemnisée. En outre, le temps alloué à la rédaction au mémoire de recours est excessif. Au regard de l’acte de recours déposé et de la relative simplicité de la cause, il convient de retenir 5 heures d’activité pour cette opération. Ce seront ainsi 6 heures d’activité nécessaire qui seront retenues. Le tarif horaire de 450 fr. requis est également excessif. La cause ne présentant pas de difficultés particulières en fait ou en droit, l’activité sera indemnisée au tarif horaire de 300 fr., qui se situe dans la moyenne de la fourchette de 250 à 350 fr. prévue par l’art. 26a al. 3 TFIP (TF 7B_35/2022 du 22 février 2024 consid. 5.3, JdT 2024 III 61). L’indemnité nette sera ainsi fixée à 1'800 francs. Il conviendra d’y ajouter des débours forfaitaires à hauteur de 2 % des honoraires admis (art. 19 al. 2 TDC [tarif des dépens en matière civile du 23 novembre 2010 ; BLV 270.11.6], applicable par renvoi de l’art. 26a al. 6 TFIP), par 36 fr., ainsi que la TVA au taux de 8,1 %, par 148 fr. 70. L’indemnité s’élèvera ainsi à 1’985 fr. au total en chiffres arrondis. Cette indemnité sera mise à la charge de d’I.________ conformément au principe de la succombance, applicable tant aux frais qu’aux indemnités dans la procédure de recours (TF 6B_265/2016 du 1er juin 2016 consid. 2.3 et 2.4).</w:t>
      </w:r>
    </w:p>
    <w:p>
      <w:r>
        <w:t>- 14 - Par ces motifs, la Chambre des recours pénale prononce : I. Le recours est admis. II. L’ordonnance du 14 mars 2025 est annulée. III. Le dossier de la cause est renvoyé au Ministère public de l’arrondissement de l’Est vaudois pour qu’il procède dans le sens des considérants. IV. Les frais d’arrêt, par 1'320 fr. (mille trois cent vingt francs), sont mis à la charge d’I.________. V. Une indemnité de 1’985 fr. (mille neuf cent huitante-cinq francs) est allouée à W.________ pour les dépenses obligatoires occasionnées par la procédure de recours, à la charge d’I.________. VI. L’arrêt est exécutoire. Le président : Le greffier : Du Le présent arrêt, dont la rédaction a été approuvée à huis clos, est notifié, par l'envoi d'une copie complète, à : - Me Agrippino Renda, avocat (pour W.________), - Mme I.________, - Ministère public central, et communiqué à : - Mme la Procureure de l’arrondissement de l’Est vaudois,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