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PE23.008666 vom 16. Oktober 2023</w:t>
      </w:r>
    </w:p>
    <w:p>
      <w:r>
        <w:t>VD Tribunal cantonal, 2023-10-16, FR</w:t>
      </w:r>
    </w:p>
    <w:p>
      <w:r>
        <w:rPr>
          <w:b/>
        </w:rPr>
        <w:t xml:space="preserve">Quelle: </w:t>
      </w:r>
      <w:r>
        <w:t>https://mcp.opencaselaw.ch/entscheid/vd_gerichte_PE23.008666</w:t>
      </w:r>
    </w:p>
    <w:p>
      <w:r>
        <w:t>FR: VD_GERICHTE PE23.008666 du 16 octobre 2023</w:t>
      </w:r>
    </w:p>
    <w:p>
      <w:r>
        <w:t>IT: VD_GERICHTE PE23.008666 del 16 ottobre 2023</w:t>
      </w:r>
    </w:p>
    <w:p>
      <w:pPr>
        <w:pStyle w:val="Heading2"/>
      </w:pPr>
      <w:r>
        <w:t>Erwägungen</w:t>
      </w:r>
    </w:p>
    <w:p>
      <w:r>
        <w:rPr>
          <w:b/>
        </w:rPr>
        <w:t>E. 2</w:t>
      </w:r>
    </w:p>
    <w:p>
      <w:r>
        <w:t>let. a et b CP (TF 6B_670/2023 du 4 octobre 2023 consid 4 ; TF 6B_1057/2015 du 25 mai 2016 consid. 1.1 et les références citées).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références citées ; TF 6B_670/2023 précité consid. 4.1 ; TF 6B_757/2020 du 4 novembre 2020 consid. 2.2 ; TF 6B_1057/2015 du 25 mai 2016 consid. 1.1).</w:t>
      </w:r>
    </w:p>
    <w:p>
      <w:r>
        <w:t>- 11 - Selon la doctrine, c’est la volonté de créer une communauté de vie, d’une certaine durée, à caractère en principe exclusif, qui est décisive (Roth/Berkemeier, in : Basler Kommentar, Strafrecht I, 4e éd. 2019, nn. 31 s. ad art. 123 CP). La volonté du législateur est en effet de saisir, par la notion de ménage commun pour une durée indéterminée, des relations de dépendance matérielle ou psychique, en excluant les relations passagères (TF 6B_670/2023 précité consid. 4.2 ; Rémy, in : Macaluso/ Moreillon/Quéloz [éd.], Commentaire romand, Code pénal II, 2017 [ci-après : CR CP II], n. 22 ad art. 123 CP). C’est dès lors la relation de dépendance que tend à créer la vie commune qui constitue le critère déterminant. En outre, l’élément de durée exigé par ces dispositions ne concerne pas la durée passée – soit le temps depuis lequel durait déjà le ménage commun au moment des faits – mais la durée future – soit la durée pour laquelle les concubins étaient convenus, juste avant les faits, de vivre ensemble à l’avenir (ibidem).</w:t>
      </w:r>
    </w:p>
    <w:p>
      <w:r>
        <w:rPr>
          <w:b/>
        </w:rPr>
        <w:t>E. 2.3.1</w:t>
      </w:r>
    </w:p>
    <w:p>
      <w:r>
        <w:t>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142 IV 129 consid. 4.3 ; ATF 132 IV 49 consid. 3.2 ; ATF 126 IV 131 consid. 2a ; TF 6B_1025/2021 du 2 mai 2022 consid. 2.1 ; TF 6B_1356/2021 du 9 juin 2023 consid. 2.1.3 ; TF 6B_1275/2019 du 12 février 2020 consid. 2.2). Cette information sûre doit laisser apparaître une procédure contre l’auteur comme ayant de bonnes chances de succès, sans s’exposer au risque d’être attaqué pour dénonciation calomnieuse ou diffamation (ATF 142 IV 129 consid. 4.3). Ce que l’ayant droit aurait dû connaître ou de simples soupçons ne suffisent pas, mais il n’est pas nécessaire que le plaignant dispose déjà de moyens de preuve (Dupuis et al., Petit commentaire, Code pénal, 2e éd., Bâle 2017, n. 4 ad. art. 31 CP). Ce délai impératif de trois mois concerne uniquement les infractions poursuivies sur plainte. Le délai institué par l’art. 31 CP étant un délai de péremption, il ne peut être ni interrompu, ni prolongé (ATF 118 IV 325 consid. 2b). Lorsque le respect du délai pour déposer plainte est litigieux, il incombe au plaignant de fournir la preuve qu’il a respecté le délai de trois mois (CREP 28 août 2012/709 et la référence citée). En cas de doute au sujet du respect du délai de plainte, il convient d’admettre que celui-ci</w:t>
      </w:r>
    </w:p>
    <w:p>
      <w:r>
        <w:t>- 9 - a été respecté lorsqu’aucun indice sérieux n’indique que le plaignant aurait pu avoir connaissance plus tôt de l’acte ou de l’auteur (ATF 97 I 769 consid. 3 ; TF 6B_1356/2021 précité consid. 2.1.3 ; TF 6B_953/2020 du 23 novembre 2020 consid. 3.1 et les réf. citées).</w:t>
      </w:r>
    </w:p>
    <w:p>
      <w:r>
        <w:rPr>
          <w:b/>
        </w:rPr>
        <w:t>E. 2.3.2.1</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CP protège non seulement l'intégrité corporelle et la santé physique, mais aussi la santé psychique (cf. ATF 134 IV 189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w:t>
      </w:r>
    </w:p>
    <w:p>
      <w:r>
        <w:t>- 10 - Selon l'art. 126 CP (Code pénal suisse du 21 décembre 1937 ; RS 311.0), celui qui se sera livré sur une personne à des voies de fait qui n'auront causé ni lésion corporelle ni atteinte à la santé sera, sur plainte, puni d'une amende (al. 1). Selon l’art. 180 al. 1 CP, celui qui, par une menace grave, aura alarmé ou effrayé une personne sera, sur plainte, puni d’une peine privative de liberté de trois ans au plus ou d’une peine pécuniaire.</w:t>
      </w:r>
    </w:p>
    <w:p>
      <w:r>
        <w:rPr>
          <w:b/>
        </w:rPr>
        <w:t>E. 2.3.2.2</w:t>
      </w:r>
    </w:p>
    <w:p>
      <w:r>
        <w:t>A teneur de l'art. 123 al. 2 ch. 6 CP, de l’art. 126 ch. 1 let. c et de l'art. 180 al. 2 let. b CP, les lésions corporelles simples, les voies de fait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 4 et 5 CP, respectivement de l'art. 180 al.</w:t>
      </w:r>
    </w:p>
    <w:p>
      <w:r>
        <w:rPr>
          <w:b/>
        </w:rPr>
        <w:t>E. 2.4.1</w:t>
      </w:r>
    </w:p>
    <w:p>
      <w:r>
        <w:t>En l’occurrence, dans sa plainte pénale du 26 avril 2023, H.________ a indiqué que Q.________ avait proféré des menaces à son égard et qu’elle avait été terrifiée par les propos suivants : « fais attention car je sais où je peux te trouver », « Tu vas souffrir chez [...]», ou encore « Si le ménage n’est pas fait, c’est toi qui servira de serpillère ». Avec la recourante, force est de constater que ces propos sont susceptibles d’être constitutifs de l’infraction de menaces au sens de l’art. 180 al. 1 CP. La recourante a également rapporté qu’elle avait reçu des propos extrêmement dénigrants et répétés de la part de Q.________ tels que « incapable », « connasse », « tas de merde » ou que « mes collègues me détestaient, qu’ils me traitaient de pute, qu’une de mes collègues me traitait de brebis galeuse, que mon patron me traitait de feignasse, que j’allais me faire licencier et que j’étais la catin de chez « [...]», ou encore « Tu vas fermer ta gueule espèce de connasse » ou encore qu’elle servirait de « serpillère ». Elle a par ailleurs déclaré qu’il lui avait plusieurs fois « hurlé dessus ». Par ailleurs, elle a produit un certificat médical attestant qu’elle était suivie par un psychologue en lien avec les violences</w:t>
      </w:r>
    </w:p>
    <w:p>
      <w:r>
        <w:t>- 12 - conjugales dénoncées. Il n’est dès lors pas exclu que les propos dénoncés, par leur accumulation, soient susceptibles d’être constitutifs de l’infraction de lésions corporelles simples au sens de l’art. 123 CP (cf. consid. 2.3.2.1). La recourante a enfin dénoncé avoir été violemment saisie par sa capuche et secouée. Ces faits pourraient être constitutifs de voies de fait.</w:t>
      </w:r>
    </w:p>
    <w:p>
      <w:r>
        <w:rPr>
          <w:b/>
        </w:rPr>
        <w:t>E. 2.4.2</w:t>
      </w:r>
    </w:p>
    <w:p>
      <w:r>
        <w:t>Les infractions de voies de fait, de lésions corporelles simples et de menaces pouvant entrer en considération, il reste à déterminer si les parties se trouvaient dans une relation de concubinat au sens ou l’entend la jurisprudence, et partant, si la plainte pénale concernant les faits dénoncés était soumise aux réquisits de l’art. 31 CP. En l’occurrence, dans leurs auditions respectives, les parties ont affirmé s’être mises en couple au début du mois de février 2022. On constate que dès le départ, elles avaient des projets d’avenir, dont celui de vivre ensemble pour une durée indéterminée. On citera à titre d’exemple les messages échangés entre elles au mois de février 2022 : - Le 7 février 2022, Q.________ a écrit à H.________ : « j’espère t’apporter tout ce dont tu attends d’une relation durable et pouvoir te rendre heureuse car tu le mérites tellement (…) là je pense que tout est réuni pour une vraie belle relation D AMOUR FONDEE SUR D EVRAIS SENTIMENTS (…) »; - Le 9 février 2022, il a encore écrit : « Comme tu me rends heureux mon délice de femme je bois tes paroles, je me noye dans tes messages, je respire ton odeur bref je suis dingue amoureux et comme tu dis si rapidement cela ne m’était jamais arrivés ! Je ne passerai plus de toi Merci ma femme de tant de bonheur et sache que l’on a un bel avenir devant nous » ; et la plaignante de lui répondre : « (…) je me permets de rêver à tes côtés d’un bel avenir ».</w:t>
      </w:r>
    </w:p>
    <w:p>
      <w:r>
        <w:t>- 13 - En outre, le 9 février 2022, Q.________ a adressé un message à son père dans lequel il lui dit « (…) Là c’est tout bon j’ai même déjà une nouvelle copine et je reste sur [...] à côté de mon travail chez elle en attendant mon nouveau logement en Suisse ». Par ailleurs, en avril 2022, le couple a échangé des messages au sujet de leur futur appartement et de l’achat de meubles, notamment un lit double. Ensuite, en juin 2022, après quatre mois de cohabitation au domicile de la plaignante à [...], ils se sont installés ensemble dans un nouvel appartement à [...], continuant ainsi dans une relation stable et sérieuse. Certes, Q.________ a déclaré que le 1er novembre 2022 il avait trouvé un studio à [...]. Il a toutefois précisé qu’il venait quand même profiter de l’appartement à [...], qu’il en avait payé les loyers jusqu’à la fin du mois de décembre 2022 et qu’il n’était définitivement parti que le 17 décembre 2022. Selon la plaignante il n’est en outre jamais allé habiter à [...]. Il ressort également des déclarations de Q.________ la survenance de nombreuses disputes au mois de décembre 2022, notamment sur le ménage de l’appartement, le fait que H.________ ne faisait aucune tâche et qu’il « serrait » par rapport à cela. La situation telle que présentée montre donc les parties vivaient ensemble, ce qui est renforcé par les nombreux messages qu’ils s’échangeaient concernant les repas du soir « on se fait grillades ? » (H.________ le 31 octobre 2022) ou encore sur leurs disputes matinales « Cc excuse moi pour ce matin mon cœur mais je suis fatigué en ce moment et grincheux le matin ! On a bien géré faut juste me laisser quand je suis comme ça et tu as fais juste ! Merci et comme ça on ne se prend pas la tête de bon matin … je suis à [...] pour la journée courage à toi » (Q.________ le 3 novembre 2022), ce message laissant par ailleurs entendre qu’il y aurait d’autres matins. Enfin, le message du 4 novembre 2022 adressé par Q.________ à H.________ montre qu’à cette date il n’avait toujours pas quitté le domicile commun : « Cc mon petit cœur d’amour (…) j’espere que tu as bien dormi ? merci pour ce matin je ne t’ai vraiment pas entendu (…) je viens de mettre le lave vaisselle en route et nettoyé la plaque vitro …j’attends le gaillard courage et gros bisous (…) ».</w:t>
      </w:r>
    </w:p>
    <w:p>
      <w:r>
        <w:t>- 14 - Force est de constater qu’en l’état, les rares éléments au dossier plaident en faveur de la volonté des parties de créer une communauté de vie d’une certaine durée, à caractère exclusif. Le fait que, à l’automne 2022, le prévenu ait pris des dispositions pour quitter le logement commun et qu’apparemment les parties n’avaient plus l’intention de cohabiter durablement n’empêche pas que, pour la période précédente, elles avaient la volonté de se mettre en couple et de vivre durablement ensemble. Les éléments constitutifs des infractions de menaces, de voies de faits et de lésions corporelles simples pouvant être réalisés, une instruction doit être ouverte. Cette instruction permettra de déterminer si d’autres éléments infirment la conclusion qui précède au sujet du fait que la recourante et le prévenu ont fait ménage commun pour une période déterminée, ainsi que, le cas échéant, si les infractions dénoncées sont réalisées.</w:t>
      </w:r>
    </w:p>
    <w:p>
      <w:r>
        <w:rPr>
          <w:b/>
        </w:rPr>
        <w:t>E. 3</w:t>
      </w:r>
    </w:p>
    <w:p>
      <w:r>
        <w:t>S’agissant de la réquisition de production de pièce formulée par la recourante, il appartiendra au Ministère public d’en examiner l’opportunité dans le cadre de l’instruction à intervenir.</w:t>
      </w:r>
    </w:p>
    <w:p>
      <w:r>
        <w:rPr>
          <w:b/>
        </w:rPr>
        <w:t>E. 4</w:t>
      </w:r>
    </w:p>
    <w:p>
      <w:r>
        <w:t>En définitive, le recours doit être admis, l’ordonnance querellée annulée et le dossier de la cause renvoyé au Ministère public pour qu’il procède dans le sens des considérants. Vu l’admission du recours, les frais de la procédure, constitués en l’espèce du seul émolument d'arrêt, par 1’540 fr. (art. 20 al. 1 TFIP [Tarif des frais de procédure et indemnités en matière pénale du 28 septembre 2010; BLV 312.03.1]), seront laissés à la charge de l’Etat (art. 428 al. 4 CPP). La recourante, qui a procédé avec l’assistance d’un conseil de choix et qui a obtenu gain de cause, a droit, à la charge de l’Etat, à une indemnité pour ses dépenses obligatoires occasionnées par la procédure de recours (art. 433 CPP, applicable à la procédure de recours par renvoi de l'art. 436 al. 1 CPP; cf. not. TF 6B_1324/2015 du 23 novembre 2016</w:t>
      </w:r>
    </w:p>
    <w:p>
      <w:r>
        <w:t>- 15 - consid. 2.2). Le tarif horaire sera fixé à 300 fr. pour tenir compte du degré de complexité moyen de la cause (art. 26a al. 4 TFIP). Au vu du mémoire de recours, les honoraires doivent être fixés à 1’200 fr., correspondant à quatre heures d’activité nécessaire d’avocat à ce tarif (cf. art. 26a al. 3 TFIP), auxquels s’ajoutent les débours forfaitaires de 2 %, par 24 fr. (cf. art. 26a TFIP qui renvoie à l'art. 19 al. 2 TDC [tarif des dépens en matière civile du 23 novembre 2010; BLV 270.11.6]), ainsi qu’un montant correspondant à la TVA, par 94 fr. 25. L’indemnité s’élève donc à 1’319 fr. en chiffres arrondis. Dans la mesure où les frais de la procédure sont entièrement laissés à la charge de l'Etat et où une pleine indemnité est allouée à la recourante pour les dépenses occasionnées par la procédure de recours, la requête d'assistance judiciaire gratuite pour la procédure de recours est sans objet (CREP 8 octobre 2020/765 ; CREP 6 août 2020/616 consid. 4 et les réf. citées). Par ces motifs, la Chambre des recours pénale prononce : I. Le recours est admis. II. L’ordonnance du 26 mai 2023 est annulée. III. Le dossier de la cause est renvoyé au Ministère public de l’arrondissement de La Côte pour qu’il procède dans le sens des considérants. IV. La requête d’assistance judiciaire est sans objet. V. Les frais d’arrêt, par 1’540 fr. (mille cinq cent quarante francs), sont laissés à la charge de l’Etat. VI. Une indemnité de 1’319 fr. (mille trois cent dix-neuf francs) est allouée à H.________ pour la procédure de recours, à la charge de l’Etat.</w:t>
      </w:r>
    </w:p>
    <w:p>
      <w:r>
        <w:t>- 16 - VII. L’arrêt est exécutoire. La présidente : La greffière : Du Le présent arrêt, dont la rédaction a été approuvée à huis clos, est notifié, par l'envoi d'une copie complète, à : - Me Valérie Malagoli-Pache, avocate (pour H.________), - M.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