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PE23.008464 vom 25. Februar 2025</w:t>
      </w:r>
    </w:p>
    <w:p>
      <w:r>
        <w:t>VD Tribunal cantonal, 2025-02-25, FR</w:t>
      </w:r>
    </w:p>
    <w:p>
      <w:r>
        <w:rPr>
          <w:b/>
        </w:rPr>
        <w:t xml:space="preserve">Quelle: </w:t>
      </w:r>
      <w:r>
        <w:t>https://mcp.opencaselaw.ch/entscheid/vd_gerichte_PE23.008464</w:t>
      </w:r>
    </w:p>
    <w:p>
      <w:r>
        <w:t>FR: VD_GERICHTE PE23.008464 du 25 février 2025</w:t>
      </w:r>
    </w:p>
    <w:p>
      <w:r>
        <w:t>IT: VD_GERICHTE PE23.008464 del 25 febbraio 2025</w:t>
      </w:r>
    </w:p>
    <w:p>
      <w:pPr>
        <w:pStyle w:val="Heading2"/>
      </w:pPr>
      <w:r>
        <w:t>Erwägungen</w:t>
      </w:r>
    </w:p>
    <w:p>
      <w:r>
        <w:rPr>
          <w:b/>
        </w:rPr>
        <w:t>E. 24</w:t>
      </w:r>
    </w:p>
    <w:p>
      <w:r>
        <w:t>mai 2024 consid. 2.2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143 IV 302 consid. 1.4.1 ; ATF 142 IV 153 précité consid. 2.2.2).</w:t>
      </w:r>
    </w:p>
    <w:p>
      <w:r>
        <w:t>- 16 -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6B_972/2023 du 6 décembre 2023 consid. 1.2 et les références citées). L'infraction d'escroquerie se commet en principe par une action. Tel est le cas lorsqu'elle est perpétrée par actes concluants (ATF 140 IV 11 consid. 2.3.2, JdT 2014 IV 217). L'assuré qui ne respecte pas l'obligation de communiquer toute modification importante des circonstances déterminantes pour l'octroi d'une prestation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 citées). Le bénéficiaire de prestations d'assurance exclusivement accordées aux indigents, qui se borne à</w:t>
      </w:r>
    </w:p>
    <w:p>
      <w:r>
        <w:t>- 17 - donner suite à la requête de l'autorité compétente tendant, en vue de réexaminer sa situation économique, à la production d'un extrait de compte déterminé, alors qu'il possède une fortune non négligeable sur un autre compte jamais déclaré, se rend coupable de tromperie « par acte concluant » (ATF 147 IV 73 précité consid. 3.1; ATF 140 IV 11 précité consid. 2.3.2 ; ATF 127 IV 163 consid. 2). Il est en définitive important de distinguer l'hypothèse où le bénéficiaire omet simplement de communiquer aux services sociaux les changements de circonstances qui pourraient avoir une influence sur la rente, de celle où il donne des renseignements incomplets. Dans cette dernière hypothèse, il a un comportement actif et on peut lui reprocher une tromperie (STOLL Daniel, Les infractions à l'aide sociale, in Expert Focus (L'expert-comptable suisse) 2015/12, p. 1018).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consid. 5 ; ATF 134 IV 210 consid. 5.3 p. 213 s. ; TF 6B_212/2024 consid. 1.2). 3.3 3.3.1 En l’espèce, la Cour de céans ne partage pas l’appréciation du Tribunal de police. En effet, ainsi que le relève l’appelante, il ressort ce qui suit de l'historique de son dossier, sous la date du 4 novembre 2013 : « Nouveau logement. Mme déclare vivre seule avec sa fille dans ce nouveau logement de 4 pièces. [...] De plus, le bail mentionne trois personnes dans le logement !!!! Vérifier qui est la troisième personne que mentionne la gérance dans le bail avant de verser le loyer du nouveau logement » (P. 5/1). Il s’ensuit qu’en novembre 2013 à tout le moins, le CSR disposait du bail figurant sous P. 5/8, précisant que le logement était occupé par [...] et Q.________ (anciennement [...]) et mentionnant trois</w:t>
      </w:r>
    </w:p>
    <w:p>
      <w:r>
        <w:t>- 18 - occupants. A ce stade, le CSR se devait de vérifier qui était [...]. Certes, il ressort du « journal » à la date du 8 novembre 2013 que la prévenue a indiqué qu'elle allait remettre une attestation de domicile du locataire figurant sur le bail, celui-ci ne vivant pas avec elle, et qu’elle fournirait également une attestation de domicile à Genève, car il vivait dans ce canton, ainsi qu'un justificatif daté et signé de « Monsieur » expliquant sa situation de logement. Le journal se termine par la mention : « En attente justificatifs ». Ces pièces n'ont toutefois jamais été produites et, en tout état de cause, elles ne figurent pas au dossier. Cela est probablement dû au fait que l'appelante était alors enceinte de sept mois, comme le relève le rapport d'enquête (P. 5/12 p. 2). A ce propos, questionnée par l'autorité de céans lors de l'audience d'appel, Q.________ a déclaré qu'elle ne se rappelait pas avoir remis les documents requis par le CSR et qu'elle était effectivement enceinte à ce moment-là. Le rapport relève aussi qu'aucun rapprochement avec « ledit locataire » n'avait été soumis à questionnement et mentionne que des doutes avaient déjà été émis en novembre 2012, « suite aux déclarations de son bailleur, qui avait régulièrement vu un homme dans l'appartement » (ibid.). Il apparaît clairement que l'ensemble de ces éléments commandait de ne pas se fier uniquement aux déclarations de la prévenue et, à tout le moins, d'exiger la production des justificatifs annoncés par l'appelante avant de lui verser le RI. C'est d'autant plus vrai que les vérifications n'étaient pas particulièrement compliquées puisque le nom du compagnon de la prévenue figurait sur le bail, qui se trouvait en mains du CSR. A ce stade, il existait suffisamment d'indices pour que l'on puisse exiger un minimum de prudence de la part des services sociaux. Ainsi, le CSR aurait pu – en 2013 déjà – commencer les investigations qu'il a menées par la suite, ce qui aurait largement réduit le dommage. En effet, comme mis en évidence dans le rapport d'enquête, [...] passait la majeure partie de son temps à [...] auprès de sa compagne</w:t>
      </w:r>
    </w:p>
    <w:p>
      <w:r>
        <w:t>- 19 - et de son fils depuis 2013, si bien que la « supercherie » aurait pu être rapidement démasquée. Au final, si l'appelante a certes eu un comportement actif en niant son concubinage, les vérifications permettant de l'établir étaient aisées à entreprendre. Dans ces conditions, il est manifeste qu'aucune astuce ne peut être retenue au sens de l'art. 146 CP. L’un des éléments constitutifs de l’infraction faisant défaut, il n’y a pas lieu d’examiner plus avant les autres conditions prévues à l’art. 146 CP. Ce moyen doit ainsi être admis et la prévenue libérée du chef d'accusation d'escroquerie. 3.3.2 Pour le surplus, il convient de relever que l'art. 148a CP, entré en vigueur le 1er octobre 2016 (RO 2016 2329), ne constitue pas une lex mitior par rapport à l’art. 146 CP, mais une nouvelle disposition dont le principe de la légalité (art. 2 CP) interdit l’application rétroactive. L’art. 148a CP n’est dès lors pas applicable au cas d’espèce et il n'y a pas lieu d'en examiner davantage la portée. 4. Pour ce qui est des effets accessoires du jugement, il ne fait pas de doute que, par son comportement, Q.________ a provoqué la procédure pénale ouverte à son encontre. Dans ces circonstances, il se justifiait de mettre les frais de la cause à sa charge en application de l'art. 426 al. 2 CPP, l’appelante ayant d’ailleurs retiré ses conclusions sur ce point. 5. Au vu de ce qui précède, l’appel doit être admis et le jugement entrepris réformé dans le sens des considérants. Me Franck-Oliver Karlen, défenseur d’office de Q.________, a produit une liste des opérations faisant état de 13h55 d’activité pour la procédure d’appel, dont 6h45 consacrées à l’examen du dossier, à la rédaction/relecture de la déclaration d’appel et à la préparation d’audience, ce qui est excessif compte tenu de la nature et de la</w:t>
      </w:r>
    </w:p>
    <w:p>
      <w:r>
        <w:t>- 20 - complexité de la cause, ainsi que de la connaissance du dossier acquise en première instance. Ce temps sera réduit de 1h45. Par ailleurs, il n’y a pas lieu d’indemniser les opérations effectuées les 23 juin et 3 juillet 2025 relatives aux échanges de courriers avec le CSR, dès lors qu’il s’agit d’opérations qui ne relèvent pas de la procédure d’appel. Il n’y a pas non plus lieu d’indemniser les multiples échanges entre l’appelante et son conseil, qui n’étaient pas tous justifiés (2h40). On admettra donc une activité de 1h10. Les opérations des 16 avril et 11 septembre 2025, intitulées « Examen des pièces, rédaction d’un bordereau et Opérations de clôture » (25 minutes), doivent être retranchées, dès lors qu’elles relèvent du travail de secrétariat. Enfin, le temps annoncé pour les débats d’appel, soit 2h00, sera ramené à une heure. Ainsi, c’est une activité nécessaire d’avocat de 9h00, qui sera retenue. En définitive, l’indemnité de défenseur d’office doit être fixée à 1’620 fr. (9h x 180 fr.), plus une vacation à 120 fr., plus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w:t>
      </w:r>
    </w:p>
    <w:p>
      <w:r>
        <w:rPr>
          <w:b/>
        </w:rPr>
        <w:t>E. 28</w:t>
      </w:r>
    </w:p>
    <w:p>
      <w:r>
        <w:t>septembre 2010 ; BLV 312.03.1]), par 32.40 fr., et la TVA à 8,1 %, par 133 fr. 85. Au total, l’indemnité due sera donc fixée à 1'786 fr. 25, TVA et débours inclus. Vu l’issue de la cause, les frais de la procédure d'appel, par 3'506 fr. 25, constitués en l’espèce des émoluments de jugement et d'audience, par 1'720 fr. (art. 21 al. 1 et 2 TFIP), et de l’indemnité allouée au défenseur d'office de l’appelante (art. 422 al. 1 et 2 let. a CPP), par 1'786 fr. 25, seront laissés à la charge de l'Etat (art. 423 al. 1 CPP).</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