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PE23.008393 vom 12. Dezember 2023</w:t>
      </w:r>
    </w:p>
    <w:p>
      <w:r>
        <w:t>VD Tribunal cantonal, 2023-12-12, FR</w:t>
      </w:r>
    </w:p>
    <w:p>
      <w:r>
        <w:rPr>
          <w:b/>
        </w:rPr>
        <w:t xml:space="preserve">Quelle: </w:t>
      </w:r>
      <w:r>
        <w:t>https://mcp.opencaselaw.ch/entscheid/vd_gerichte_PE23.008393</w:t>
      </w:r>
    </w:p>
    <w:p>
      <w:r>
        <w:t>FR: VD_GERICHTE PE23.008393 du 12 décembre 2023</w:t>
      </w:r>
    </w:p>
    <w:p>
      <w:r>
        <w:t>IT: VD_GERICHTE PE23.008393 del 12 dicembre 2023</w:t>
      </w:r>
    </w:p>
    <w:p>
      <w:pPr>
        <w:pStyle w:val="Heading2"/>
      </w:pPr>
      <w:r>
        <w:t>Erwägungen</w:t>
      </w:r>
    </w:p>
    <w:p>
      <w:r>
        <w:rPr>
          <w:b/>
        </w:rPr>
        <w:t>E. 1</w:t>
      </w:r>
    </w:p>
    <w:p>
      <w:r>
        <w:t>CPP) et dans les formes prescrites (art. 385 al. 1 CPP), le recours est</w:t>
      </w:r>
    </w:p>
    <w:p>
      <w:r>
        <w:t>- 6 - recevable, tout comme les pièces produites à l’appui de celui-ci (art. 389 al. 3 CPP).</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l'occurrence, déposé en temps utile devant l’autorité compétente par la partie plaignante qui a qualité pour recourir (art. 382 al.</w:t>
      </w:r>
    </w:p>
    <w:p>
      <w:r>
        <w:rPr>
          <w:b/>
        </w:rPr>
        <w:t>E. 2</w:t>
      </w:r>
    </w:p>
    <w:p>
      <w:r>
        <w:t>CPP ; ATF 138 IV 86 consid. 4.2) et signifie qu’en principe un classement</w:t>
      </w:r>
    </w:p>
    <w:p>
      <w:r>
        <w:t>- 7 -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w:t>
      </w:r>
    </w:p>
    <w:p>
      <w:r>
        <w:rPr>
          <w:b/>
        </w:rPr>
        <w:t>E. 2.1</w:t>
      </w:r>
    </w:p>
    <w:p>
      <w:r>
        <w:t>La recourante allègue que le courrier du Ministère public du 14 septembre 2023, dans lequel il renonce à ouvrir une instruction pénale pour dommages à la propriété, est une ordonnance de non-entrée en matière « implicite » et que cette décision, insuffisamment motivée et dépourvue de dispositif et de voies de droit, doit être annulée. Pour le surplus, sans que C.________SA ne recoure contre le rejet par le Ministère public de sa réquisition tendant à la mise en œuvre d’une expertise, elle fait malgré tout valoir que, par économie de procédure, la Chambre de céans devrait signifier au Ministère public que son ordonnance de non-entrée en matière est également injustifiée au fond et qu’il y a lieu d’ouvrir une instruction, notamment en ordonnant ladite expertise et en auditionnant l’ensemble des personnes ayant conduit le véhicule Lamborghini.</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6B_690/2014 et 6B_714/2014 du 12 juin 2015 consid. 4.2). Une telle formalisation de l'abandon des charges</w:t>
      </w:r>
    </w:p>
    <w:p>
      <w:r>
        <w:t>- 8 - constitue le préalable essentiel à l'exercice du droit de recours prévu par l'art. 322 al. 2 CPP (ATF 138 IV 241 op. et loc. cit. ; TF 6B_1157/2019 du 12 novembre 2019 consid. 2.2 ; CREP 9 mars 2023/175 consid. 3.2.3).</w:t>
      </w:r>
    </w:p>
    <w:p>
      <w:r>
        <w:rPr>
          <w:b/>
        </w:rPr>
        <w:t>E. 2.2.3</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146 II 335 consid. 5.1 ; ATF 143 IV 40 consid. 3.4.3 ; ATF 141 IV 249 consid. 1.3.1 ; TF 7B_677/2023 du 24 novembre 2023 consid. 2.2). Ce devoir est également consacré à l'art. 80 al. 2 CPP, qui n'a toutefois pas de portée propre (TF 1B_16/2020 du 24 juin 2020 consid. 2.1). Pour satisfaire à ces exigences, il suffit que l'autorité mentionne, au moins brièvement, les motifs qui l'ont guidée et sur lesquels elle a fondé son raisonnement, de manière que l'intéressé puisse se rendre compte de la portée de celle- ci et l'attaquer en connaissance de cause (ATF 146 II 335 consid. 5.1 ; TF 7B_677/2023 précité).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147 IV 340 consid. 4.11 ; ATF 142 II 218 consid. 2.8.1). Le droit d’être entendu peut donc être relativisé dans une certaine mesure en fonction de circonstances particulières de la cause et lorsque le renvoi constituerait une vaine formalité et aboutirait à un allongement inutile de la procédure (ATF 147 IV 340 précité ; ATF 6B_510/2018 du 31 juillet 2018 consid. 2.2.1).</w:t>
      </w:r>
    </w:p>
    <w:p>
      <w:r>
        <w:t>- 9 -</w:t>
      </w:r>
    </w:p>
    <w:p>
      <w:r>
        <w:rPr>
          <w:b/>
        </w:rPr>
        <w:t>E. 2.3</w:t>
      </w:r>
    </w:p>
    <w:p>
      <w:r>
        <w:t>En l’espèce, force est d’admettre qu’en rejetant la réquisition de la partie plaignante au motif qu’il n’existait « aucun soupçon suffisant justifiant une ouverture d’instruction pour dommages à la propriété au sens de l’art. 144 al. 1 CP à l’encontre du prévenu, étant précisé que l’infraction précitée est une infraction intentionnelle », le Ministère public a rendu, sous forme de lettre, une décision refusant de donner suite à la plainte de la recourante pour dommages à la propriété. Ainsi, même si cette décision ne le précise pas, il s’agit d’une ordonnance de non-entrée en matière au sens de l’art. 310 CPP. Or, cette ordonnance ne contient aucune des indications exigées par l’art. 81 CPP. En particulier, elle ne désigne pas les parties et leurs conseils juridiques, n’indique pas les faits reprochés ni les dispositions légales dont il a été fait application et ne mentionne aucune voie de droit, alors qu’elle est sujette à recours. L’ordonnance de non-entrée en matière attaquée ne remplit donc pas les exigences de forme prescrites par la loi. Sa motivation est de surcroît insuffisante et prive l’autorité de recours de la possibilité d’exercer correctement son contrôle. Même si la Chambre des recours pénale dispose d’un plein pouvoir d’examen, il ne lui appartient pas de réparer la présente violation du droit d’être entendu et la recourante doit pouvoir bénéficier de la garantie de la double instance. Pour ces motifs, l’ordonnance attaquée doit être annulée sans qu’il y ait lieu d’examiner plus avant les arguments de fond soulevés par la recourante.</w:t>
      </w:r>
    </w:p>
    <w:p>
      <w:r>
        <w:rPr>
          <w:b/>
        </w:rPr>
        <w:t>E. 3</w:t>
      </w:r>
    </w:p>
    <w:p>
      <w:r>
        <w:t>Au vu de ce qui précède, le recours doit être admis, l’ordonnance du 14 septembre 2023 annulée et le dossier de la cause renvoyé à la Procureure pour qu’elle rende, si elle le souhaite, une nouvelle décision, conforme aux exigences légales. Vu l’admission des recours, les frais de la procédure, constitués du seul émolument d’arrêt, par 1’100 fr. (art. 20 al. 1 TFIP [Tarif des frais de procédure et indemnités en matière pénale du 28 septembre</w:t>
      </w:r>
    </w:p>
    <w:p>
      <w:r>
        <w:t>- 10 - 2010 ; BLV 312.03.1]), seront laissés à la charge de l’Etat (art. 428 al. 4 CPP). La recourante requiert l’allocation d’un montant de 1'700 fr. à titre d’indemnité pour la procédure de recours et a produit la liste des opérations de son conseil, Me Priscille Ramoni, faisant état d’un temps consacré de 4 heures au tarif horaire de 370 fr., soit un montant total de 1'625 fr. 90, TTC. Sur le principe, la recourante, qui a procédé avec l’assistance d’un avocat de choix, a droit à une indemnité pour les dépenses occasionnées par la procédure de recours (art. 433 al. 1 let. a CPP, applicable par renvoi de l’art. 436 al. 1 CPP). Toutefois, le montant réclamé ne peut être alloué. Il n’y a en effet pas lieu d’indemniser la recourante d’un montant dépassant les honoraires de son conseil. En outre, au vu de la simplicité de la cause, la durée totale des opérations paraît élevée. Cette durée sera cependant admise, étant précisé qu’elle comprendra la prise de connaissance de la réponse du Ministère public. S’agissant du tarif horaire, il y a lieu de rappeler que l’art. 26a TFIP (tarif des frais de procédure et indemnités en matière pénale du 28 septembre 2010 ; BLV 312.03.1) prévoit que l’indemnité doit être fixée en fonction des difficultés de la cause et que le tarif déterminant (hors TVA) est de 250 fr. au minimum et 350 fr. au maximum pour un avocat breveté. En l’occurrence l’affaire n'étant pas particulièrement complexe, c’est un tarif horaire usuel de 300 fr. qui doit être appliqué. L’indemnité de Me Priscille Ramoni sera dès lors fixée à 1’200 fr., sur la base de 4 heures d’activité nécessaire d’avocat au tarif horaire de 300 fr. (art. 26a al. 3 TFIP), à laquelle s’ajoutent 2 % pour les débours (art. 19 al. 2 TDC [tarif des dépens en matière civile du 23 novembre 2010 ; BLV 270.11.6] par renvoi de l'art. 26a al. 6 TFIP), soit 24 fr., et 7,7 % de TVA sur le tout, soit 94 fr. 25, ce qui correspond à la somme totale de 1’319 fr. en chiffres ronds.</w:t>
      </w:r>
    </w:p>
    <w:p>
      <w:r>
        <w:t>- 11 - Par ces motifs, la Chambre des recours pénale prononce : I. Le recours est admis. II. L’ordonnance du 14 septembre 2023 est annulée. III. Le dossier de la cause est renvoyé au Ministère public de l’arrondissement de l’Est vaudois pour qu’il procède dans le sens des considérants. IV. Les frais d’arrêt par 1’100 fr. (mille cent francs), sont laissés à la charge de l’Etat. V. Une indemnité de 1’319 fr. (mille trois cent dix-neuf francs) est allouée à C.________SA pour la procédure de recours, à la charge de l’Etat. VI. L’arrêt est exécutoire. La présidente : La greffière : Du Le présent arrêt, dont la rédaction a été approuvée à huis clos, est notifié, par l'envoi d'une copie complète, à : - Me Priscille Ramoni (pour C.________SA),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