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PE23.008293 vom 17. August 2023</w:t>
      </w:r>
    </w:p>
    <w:p>
      <w:r>
        <w:t>VD Tribunal cantonal, 2023-08-17, FR</w:t>
      </w:r>
    </w:p>
    <w:p>
      <w:r>
        <w:rPr>
          <w:b/>
        </w:rPr>
        <w:t xml:space="preserve">Quelle: </w:t>
      </w:r>
      <w:r>
        <w:t>https://mcp.opencaselaw.ch/entscheid/vd_gerichte_PE23.008293</w:t>
      </w:r>
    </w:p>
    <w:p>
      <w:r>
        <w:t>FR: VD_GERICHTE PE23.008293 du 17 août 2023</w:t>
      </w:r>
    </w:p>
    <w:p>
      <w:r>
        <w:t>IT: VD_GERICHTE PE23.008293 del 17 agosto 2023</w:t>
      </w:r>
    </w:p>
    <w:p>
      <w:pPr>
        <w:pStyle w:val="Heading2"/>
      </w:pPr>
      <w:r>
        <w:t>Erwägungen</w:t>
      </w:r>
    </w:p>
    <w:p>
      <w:r>
        <w:rPr>
          <w:b/>
        </w:rPr>
        <w:t>E. 2</w:t>
      </w:r>
    </w:p>
    <w:p>
      <w:r>
        <w:t>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 cit. ; ATF 137 IV 285 consid. 2.3 et les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- 7 - 2.2.2 Se rend coupable de contrainte au sens de l'art. 181 CP (Code pénal suisse du 21 décembre 1937 ; RS 311.0)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 TF 6B_125/2017 du 27 octobre 2017 consid. 2.1). Il peut également y avoir contrainte lorsque l'auteur entrave sa victime « de quelque autre manière » dans sa liberté d'action. Cette formule générale doit être interprétée de manière restrictive (ATF 129 IV 6 consid. 2.2).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6B_306/2017 du 2 novembre 2017 consid. 3.1).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 à 2.5). Toutefois, en l'absence d'une norme spécifique réprimant de tels faits en tant qu'ensemble d'actes formant une unité, l'art. 181 CP suppose, d'une part, que le</w:t>
      </w:r>
    </w:p>
    <w:p>
      <w:r>
        <w:t>- 8 -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 Dans un arrêt publié aux ATF 129 IV 262 – cité par la recourante –, il a été jugé que les agissements de l'auteur, consistant, tout en exprimant des menaces graves, à se rendre plus de 120 fois en une année sur le parking d'une institution, en y demeurant des heures, au mépris des injonctions du service de sécurité et d'une interdiction d'entrer, en vue de forcer des responsables à s'entretenir avec lui de son avenir professionnel, constituaient des actes de contrainte. Il a, en revanche, été jugé, dans un autre cas, que 379 appels téléphoniques sur une durée d'un mois visant à convaincre un voisin de s'abstenir d'utiliser une installation de chauffage à bois ne constituaient pas une tentative de contrainte, faute d'effets comparables à ceux de la violence (TF 6B_320/2007 du 16 novembre 2007 consid. 4.2). A l’inverse, se rend coupable de contrainte celui qui envoie à son ex-partenaire d’innombrables messages électroniques, lettres et cartes postales et publie sur sa page Facebook, visible par 900 personnes, des informations de nature intime, car le fait d’importuner de manière répétée la victime durant une période prolongée a pour effet que chaque acte devient, au fil du temps, susceptible de déployer sur la liberté d’action de la victime un effet d’entrave comparable à celui de la violence ou de la menace (ATF 141 IV 437, résumé par Favre in : Commentaire romand, Code pénal II, Bâle 2017, n. 20 ad art. 181 CP).</w:t>
      </w:r>
    </w:p>
    <w:p>
      <w:r>
        <w:rPr>
          <w:b/>
        </w:rPr>
        <w:t>E. 2.3</w:t>
      </w:r>
    </w:p>
    <w:p>
      <w:r>
        <w:t>En l'espèce, même dans l’hypothèse où les prétendus actes décrits par la recourante et reprochés à A.________ et B.________ étaient établis, ils ne rempliraient pas les conditions posées par la loi et la jurisprudence précités, en particulier en termes de gravité et d'intensité, pour réaliser les conditions de la contrainte au sens de l’art. 181 CP. Les</w:t>
      </w:r>
    </w:p>
    <w:p>
      <w:r>
        <w:t>- 9 - faits décrits sous lettres a à g de la plainte relèvent, comme l’a retenu à juste titre le Ministère public, d’un conflit civil de voisinage. S’agissant des faits décrits sous lettre h, la recourante a certes produit, le 17 mai 2023, un procès-verbal du 24 avril 2023 tenu dans une procédure distincte (P. 7/1), dans lequel elle précisait qu’B.________ aurait utilisé un marteau pour donner les coups qui ont endommagé la porte de sa buanderie, que cette dernière « était folle parce que c’était un jeudi et qu’il fallait que [la porte de la buanderie] soit ouverte », qu’elle « avait cassé la porte, tout cassé » et que la recourante, qui l’avait vue, n’avait pas osé s’approcher d’elle, de peur qu’elle la tue (cf. P. 7/1). Il ressort également de ce procès-verbal que la recourante reproche encore à A.________ et B.________ de l’avoir, en octobre 2022 et le 15 février 2023, importunée de manière inutile en présence d’invités, leur faisant des remontrances injustifiées et faisant appel à la police sans raison. Toutefois, l’épisode allégué des coups frappés sur la porte et les faits décrits en lien avec les invités de la recourante ne revêtent pas, là encore, même considérés de manière cumulée, une intensité suffisante au regard de l’art. 181 CP. La recourante n’a au demeurant pas fait état de ces éléments dans sa plainte initiale, ni complété sa plainte en ce sens lors de l’envoi de son audition, le 17 mai 2023. En ce qui concerne les faits décrits sous lettre i, à savoir la rayure causée sur la voiture de [...], ils ne lèsent pas la recourante, mais [...]. Il ne s’agit pas non plus d’un acte remplissant les conditions de l’art. 181 CP. Enfin, les dépôts de plaintes décrits sous lettre j sont intervenus dans le contexte d’un important conflit de voisinage, dans lequel la recourante a d’ores et déjà été condamnée par ordonnance pénale. En tant que tels, ils ne sauraient dès lors être considérés comme des actes de contrainte illicites. Les griefs de la recourante doivent donc être rejetés, aucun fait pénalement répréhensible ne pouvant être décelé. C'est donc à bon</w:t>
      </w:r>
    </w:p>
    <w:p>
      <w:r>
        <w:t>- 10 - droit que la Procureure a rendu une ordonnance de non-entrée en matière concernant ces faits.</w:t>
      </w:r>
    </w:p>
    <w:p>
      <w:r>
        <w:rPr>
          <w:b/>
        </w:rPr>
        <w:t>E. 3.1</w:t>
      </w:r>
    </w:p>
    <w:p>
      <w:r>
        <w:t>La recourante avance que ce serait à tort que le Ministère public ne serait pas entré en matière sur les dommages causés à la porte de la buanderie qui a été endommagée à son domicile. Elle explique que contrairement à ce qui a été retenu par la Procureure, elle disposait d’un usage exclusif sur dite buanderie, porte comprise, et considère qu’elle avait donc qualité pour déposer plainte en lien avec ces faits.</w:t>
      </w:r>
    </w:p>
    <w:p>
      <w:r>
        <w:rPr>
          <w:b/>
        </w:rPr>
        <w:t>E. 3.2.1</w:t>
      </w:r>
    </w:p>
    <w:p>
      <w:r>
        <w:t>Réprimant les dommages à la propriété, l’art. 144 al. 1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2010, nn. 11 ss ad art. 144 CP).</w:t>
      </w:r>
    </w:p>
    <w:p>
      <w:r>
        <w:rPr>
          <w:b/>
        </w:rPr>
        <w:t>E. 3.2.2</w:t>
      </w:r>
    </w:p>
    <w:p>
      <w:r>
        <w:t>L’art. 144 CP ne protège pas seulement les droits du propriétaire de la chose. Il protège aussi les droits d’usage que d’autres personnes pourraient avoir sur celle-ci. Ainsi, le droit de porter plainte n’appartient pas seulement au propriétaire mais également à tout ayant droit privé de l’usage de la chose (Dupuis et al. [édit.], Petit Commentaire du Code pénal, 2ème éd., Bâle 2017, n. 9 ad art. 144 CP et les réf. cit. ; Hurtado Pozo, Droit pénal, Partie spéciale, 2e éd., 2009, n. 1081, p. 324 et les réf. cit.).</w:t>
      </w:r>
    </w:p>
    <w:p>
      <w:r>
        <w:rPr>
          <w:b/>
        </w:rPr>
        <w:t>E. 3.3</w:t>
      </w:r>
    </w:p>
    <w:p>
      <w:r>
        <w:t>En l’espèce, la recourante disposait sur la buanderie concernée d’un droit d’usage exclusif lié à son droit d’habitation. Il ressort</w:t>
      </w:r>
    </w:p>
    <w:p>
      <w:r>
        <w:t>- 11 - néanmoins du dossier que le local en question abritait des installations communes, auxquelles les propriétaires devaient avoir accès. Par ailleurs, selon les propres dires de la recourante, l’usage de la chose endommagée, à savoir la porte de la buanderie, n’a pas été entravé en ce qui la concerne (cf. P. 7/1). Dès lors, c’est à juste titre que le Ministère public lui a refusé la qualité pour porter plainte pour dommages à la propriété et n’est pas entré en matière.</w:t>
      </w:r>
    </w:p>
    <w:p>
      <w:r>
        <w:rPr>
          <w:b/>
        </w:rPr>
        <w:t>E. 4.1</w:t>
      </w:r>
    </w:p>
    <w:p>
      <w:r>
        <w:t>Enfin, la recourante reproche au Ministère public de n’être à tort pas entré en matière sur sa plainte en ce qui concerne les faits relevant à son sens de diffamation ou de calomnie, à savoir les deux plaintes pénales déposées à son encontre par B.________ les 19 octobre 2022 et 22 février 2023.</w:t>
      </w:r>
    </w:p>
    <w:p>
      <w:r>
        <w:rPr>
          <w:b/>
        </w:rPr>
        <w:t>E. 4.2</w:t>
      </w:r>
    </w:p>
    <w:p>
      <w:r>
        <w:t>Aux termes de l’art. 30 CP, si une infraction n’est punie que sur plainte, toute personne lésée peut porter plainte contre l’auteur. Les délits poursuivis sur plainte constituent une exception à la maxime d'office, puisque dans ces cas, la poursuite pénale n’est engagée qu’en cas de déclaration de volonté expresse du lésé (cf. Riedo in : Niggli/Wiprächtiger [édit.], Basler Kommentar, Strafrecht I, 4ème éd., Bâle 2019, n. 2 ad Vor art. 30). Pour qu’une plainte soit valable, le déroulement des faits sur lesquels elle porte doit être décrit de manière suffisante (Dupuis et al., op. cit., n. 4 ad art. 30 CP).</w:t>
      </w:r>
    </w:p>
    <w:p>
      <w:r>
        <w:rPr>
          <w:b/>
        </w:rPr>
        <w:t>E. 4.3</w:t>
      </w:r>
    </w:p>
    <w:p>
      <w:r>
        <w:t>En l’espèce, la recourante explique n’avoir eu connaissance des faits qui lui étaient reprochés dans les deux plaintes déposées à son encontre par B.________ qu’en date du 24 avril 2023. Elle admet dès lors qu’au moment du dépôt de sa plainte, le 19 avril 2023, elle ignorait entièrement la nature et le contenu des griefs à son encontre, de sorte que sa plainte pour diffamation et calomnie n’était qu’hypothétique. Certes, le 17 mai 2023, elle a remis au Ministère public une copie du procès-verbal d’audition du 24 avril 2023 tenu dans le cadre de l’enquête ouverte à la suite des deux plaintes d’B.________. A cette occasion, elle n’a toutefois pas complété sa plainte, en particulier s’agissant des infractions</w:t>
      </w:r>
    </w:p>
    <w:p>
      <w:r>
        <w:t>- 12 - de diffamation et de calomnie. Or, ces deux infractions ne se poursuivent que sur plainte (art. 173 et 174 CP). En l’absence de description suffisante, par la recourante, des faits susceptibles d’être constitutifs de diffamation ou de calomnie, c’est à raison que le Ministère public n’est pas entré en matière sur ces infractions.</w:t>
      </w:r>
    </w:p>
    <w:p>
      <w:r>
        <w:rPr>
          <w:b/>
        </w:rPr>
        <w:t>E. 5</w:t>
      </w:r>
    </w:p>
    <w:p>
      <w:r>
        <w:t>En définitive, le recours, manifestement mal fondé, doit être rejeté sans échange d’écritures (art. 390 al. 2 CPP) dans la mesure où il est recevable, et l’ordonnance querellée confirmée. Les frais de la procédure de recours, constitués du seul émolument d’arrêt, par 1’210 fr. (art. 20 al. 1 TFIP [tarif des frais de procédure et indemnités en matière pénale du 28 septembre 2010 ; BLV 312.03.1]), seront mis à la charge de la recourante, qui succombe (art. 428 al. 1 CPP). Le montant de 550 fr. déjà versé par la recourante à titre de sûretés sera imputé sur ces frais (art. 7 TFIP). Par ces motifs, la Chambre des recours pénale prononce : I. Le recours est rejeté dans la mesure où il est recevable. II. L’ordonnance du 30 mai 2023 est confirmée. III. Les frais d’arrêt, par 1’210 fr. (mille deux cent dix francs), sont mis à la charge de X.________. IV. Le montant de 550 fr. (cinq cent cinquante francs) déjà versé par la recourante à titre de sûretés est imputé sur les frais mis à sa charge au chiffre III ci-dessus, le solde dû par celle-ci s’élevant à 660 fr. (six cent soixante francs). V. L’arrêt est exécutoire. La présidente : La greffière :</w:t>
      </w:r>
    </w:p>
    <w:p>
      <w:r>
        <w:t>- 13 -</w:t>
      </w:r>
    </w:p>
    <w:p>
      <w:r>
        <w:t>- 14 - Du Le présent arrêt, dont la rédaction a été approuvée à huis clos, est notifié, par l'envoi d'une copie complète, à : - Me Vanessa Simioni, avocate (pour X.________), - Ministère public central, et communiqué à : - Madame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