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PE23.008239 vom 9. Juni 2023</w:t>
      </w:r>
    </w:p>
    <w:p>
      <w:r>
        <w:t>VD Tribunal cantonal, 2023-06-09, FR</w:t>
      </w:r>
    </w:p>
    <w:p>
      <w:r>
        <w:rPr>
          <w:b/>
        </w:rPr>
        <w:t xml:space="preserve">Quelle: </w:t>
      </w:r>
      <w:r>
        <w:t>https://mcp.opencaselaw.ch/entscheid/vd_gerichte_PE23.008239</w:t>
      </w:r>
    </w:p>
    <w:p>
      <w:r>
        <w:t>FR: VD_GERICHTE PE23.008239 du 9 juin 2023</w:t>
      </w:r>
    </w:p>
    <w:p>
      <w:r>
        <w:t>IT: VD_GERICHTE PE23.008239 del 9 giugno 2023</w:t>
      </w:r>
    </w:p>
    <w:p>
      <w:pPr>
        <w:pStyle w:val="Heading2"/>
      </w:pPr>
      <w:r>
        <w:t>Erwägungen</w:t>
      </w:r>
    </w:p>
    <w:p>
      <w:r>
        <w:rPr>
          <w:b/>
        </w:rPr>
        <w:t>E. 4.1</w:t>
      </w:r>
    </w:p>
    <w:p>
      <w:r>
        <w:t>Le recourant conteste ensuite l’existence d’un risque de fuite. Il invoque qu’il vit en Suisse depuis 2007, à l’exception d’un court séjour au Portugal, entre 2012 et 2013, qu’il possède un permis B et qu’il y exerce une activité lucrative à temps plein. Il fait aussi valoir que son épouse, dont il est séparé, mère de son fils de 8 ans, serait enceinte de leur deuxième enfant. Le fait qu’il ait pris le nom de son épouse révélerait son fort attachement local.</w:t>
      </w:r>
    </w:p>
    <w:p>
      <w:r>
        <w:rPr>
          <w:b/>
        </w:rPr>
        <w:t>E. 4.2</w:t>
      </w:r>
    </w:p>
    <w:p>
      <w:r>
        <w:t>; ATF 132 I 21 consid. 3.2.2 ; TF 1B_536/2018 du 21 décembre 2018 consid. 5.1).</w:t>
      </w:r>
    </w:p>
    <w:p>
      <w:r>
        <w:t>- 10 -</w:t>
      </w:r>
    </w:p>
    <w:p>
      <w:r>
        <w:rPr>
          <w:b/>
        </w:rPr>
        <w:t>E. 4.3</w:t>
      </w:r>
    </w:p>
    <w:p>
      <w:r>
        <w:t>En l’occurrence, comme le relève justement le Tribunal des mesures de contrainte, le risque de fuite est concret, dans la mesure où F., ressortissant portugais, a conservé des contacts avec son pays d’origine et qu’il ne voit actuellement plus son fils, selon ses propres déclarations, sa séparation d’avec son épouse étant conflictuelle. Or, compte tenu de la gravité des faits qui lui sont reprochés, lesquels seraient survenus dans le délai d’épreuve de sa précédente condamnation à une peine de 120 jours- amende à 110 fr., on peut sérieusement craindre en cas de remise en liberté qu’il ne quitte le pays pour le Portugal ou ne tombe dans la clandestinité.</w:t>
      </w:r>
    </w:p>
    <w:p>
      <w:r>
        <w:rPr>
          <w:b/>
        </w:rPr>
        <w:t>E. 5.1</w:t>
      </w:r>
    </w:p>
    <w:p>
      <w:r>
        <w:t>Le recourant conteste également l’existence d’un risque de collusion, soutenant que ce risque ne serait pas concret car sa libération ne compromettrait pas le résultat de l’analyse des conversations téléphoniques. De plus, de nombreux protagonistes auraient déjà été entendus.</w:t>
      </w:r>
    </w:p>
    <w:p>
      <w:r>
        <w:t>- 9 -</w:t>
      </w:r>
    </w:p>
    <w:p>
      <w:r>
        <w:rPr>
          <w:b/>
        </w:rPr>
        <w:t>E. 5.2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in : Jeanneret/Kuhn/Perrier Depeursinge [éd.], op. cit.,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 consid. 4.2 ; ATF 132 I 21 consid. 3.2 ; TF 1B_339/2019 du 26 juillet 2019 consid. 3.1 ; TF 1B_536/2018 du 21 décembre 2018 consid. 5.1). Plus l'instruction se trouve à un stade avancé et les faits sont établis avec précision, plus les exigences relatives à la preuve de l'existence d'un risque de collusion sont élevées (ATF 137 IV 122 consid.</w:t>
      </w:r>
    </w:p>
    <w:p>
      <w:r>
        <w:rPr>
          <w:b/>
        </w:rPr>
        <w:t>E. 5.3</w:t>
      </w:r>
    </w:p>
    <w:p>
      <w:r>
        <w:t>En l’espèce, l’examen détaillé des conversations téléphoniques entre F. et les nombreux protagonistes de cette affaire fournira des informations complémentaires, qui devront être contrôlées et recoupées. Il est donc nécessaire à ce stade que le recourant ne puisse pas se concerter avec d’autres personnes concernées ou même exercer des pressions sur elles pour qu’elles reviennent sur leurs premières déclarations, étant rappelé que le recourant est mis en cause par d’autres personnes, en particulier par V., et qu’il déclare que celui-ci ment. On ne peut en outre exclure que de nouvelles personnes doivent être entendues en fonction du résultat de ces investigations. Au demeurant, les deux personnes ayant pris la voiture de V. au stade de la Tuilière n’ont pas encore été identifiées. Sur la base de ces éléments, il y a sérieusement à craindre que le recourant ne compromette la recherche de la vérité, risque qui apparaît d’autant plus concret que les faits qui lui sont reprochés sont graves et qu’il a des antécédents pénaux.</w:t>
      </w:r>
    </w:p>
    <w:p>
      <w:r>
        <w:rPr>
          <w:b/>
        </w:rPr>
        <w:t>E. 6.1</w:t>
      </w:r>
    </w:p>
    <w:p>
      <w:r>
        <w:t>F. conteste enfin l’existence d’un risque de récidive. Il soutient que ce risque ne saurait entrer en ligne de compte vu qu’on ne peut retenir de forts soupçons de commission d’un crime ou d’un délit dans le cadre de la présente cause.</w:t>
      </w:r>
    </w:p>
    <w:p>
      <w:r>
        <w:rPr>
          <w:b/>
        </w:rPr>
        <w:t>E. 6.2</w:t>
      </w:r>
    </w:p>
    <w:p>
      <w:r>
        <w:t>L'art. 221 al. 1 let. c CPP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146 IV 326 consid. 3.1 ; ATF 143 IV 9 consid. 2.5 ; TF 1B_176/2022 du 21 avril 2022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même si ce sont en</w:t>
      </w:r>
    </w:p>
    <w:p>
      <w:r>
        <w:t>- 11 - premier lieu les délits contre l'intégrité corporelle et sexuelle qui sont visés (ATF 146 IV 326 précité ; ATF 143 IV 9 précité consid. 2.6 et 2.7 ; TF 1B_176/2022 précité).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précité ; TF 1B_176/2022 précité ; TF 1B_150/2021 du 16 avril 2021 consid. 4.1). Le risque de récidive peut également se fonder sur les infractions faisant l'objet de la procédure pénale en cours, si le prévenu est fortement soupçonné – avec une probabilité confinant à la certitude – de les avoir commises (ATF 143 IV 9 consid. 2.3.1).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146 IV 326 précité ; ATF 146 IV 136 consid. 2.2 ; ATF 143 IV 9 précité consid. 2.9 ; TF 1B_88/2022 du 29 mars 2022 consid. 3.1).</w:t>
      </w:r>
    </w:p>
    <w:p>
      <w:r>
        <w:rPr>
          <w:b/>
        </w:rPr>
        <w:t>E. 6.3</w:t>
      </w:r>
    </w:p>
    <w:p>
      <w:r>
        <w:t>Le recourant ne saurait être suivi en tant qu’il conteste l’existence de soupçons suffisants à son encontre (cf. consid. 3.3), de sorte que son argumentation tombe à faux. Il fait au demeurant abstraction de ses antécédents pénaux, soit sa récente condamnation notamment pour incendie par négligence, contrainte, dommages à la propriété, injure, menaces et voies de fait. Il omet également le fait qu’alors qu’une</w:t>
      </w:r>
    </w:p>
    <w:p>
      <w:r>
        <w:t>- 12 - enquête avait été ouverte à son encontre, au lendemain de son audition le 22 mai 2023, il est allé trouver V. au stade de la Tuilière, muni de gants, d’une cagoule, de ligatures et d’un couteau afin de régler ses problèmes avec l’intéressé. De toute manière, la jurisprudence a assoupli les exigences pour admettre l’existence d’un risque de récidive en l’absence d’antécédents ou lorsque les antécédents sont isolés, un pronostic défavorable étant suffisant (CREP 15 mars 2017/175). En l’espèce, on peut précisément émettre un tel pronostic, au vu des faits reprochés au recourant et de la fiabilité des éléments recueillis à ce stade, lequel pronostic justifie son maintien en détention provisoire.</w:t>
      </w:r>
    </w:p>
    <w:p>
      <w:r>
        <w:rPr>
          <w:b/>
        </w:rPr>
        <w:t>E. 7.1</w:t>
      </w:r>
    </w:p>
    <w:p>
      <w:r>
        <w:t>Une mesure de détention préventive doit en outre respecter le principe de proportionnalité (art. 36 al. 2 et 3 Cst. [Constitution fédérale de la Confédération suisse du 18 avril 1999 ; RS 101]). Tel est le cas en l’espèce, le recourant n’étant détenu que depuis le 24 mai 2023, l’instruction n’en étant qu’à son début et les faits qui lui sont reprochés étant passibles d’une peine privative de liberté bien supérieure à la période de détention subie et à subir jusqu’au 23 juillet 2023. En outre, comme retenu à raison par le tribunal, aucune mesure de substitution n’est susceptible à ce stade de prévenir concrètement les risques retenus, au vu de leur intensité.</w:t>
      </w:r>
    </w:p>
    <w:p>
      <w:r>
        <w:rPr>
          <w:b/>
        </w:rPr>
        <w:t>E. 8</w:t>
      </w:r>
    </w:p>
    <w:p>
      <w:r>
        <w:t>Il résulte de ce qui précède que le recours, manifestement mal fondé, doit être rejeté sans échange d’écritures (art. 390 al. 2 CPP) et l’ordonnance du 27 mai 2023 confirmée. Vu le sort du recours, les frais de la présente procédure, constitués de l’émolument d’arrêt, par 1’320 fr. (art. 20 al. 1 TFIP [tarif des frais de procédure et indemnités en matière pénale du 28 septembre 2010 ; BLV 312.03.1]), ainsi que des frais imputables à la défense d’office (art. 422 al. 1 et 2 let. a CPP), fixés à 540 fr., sur la base d’une activité nécessaire d’avocat de trois heures au tarif horaire de 180 fr., auxquels il convient d’ajouter des débours forfaitaires à concurrence de 2 % (art. 2 al. 1 let. a et 3bis al. 1 RAJ [règlement sur l’assistance judiciaire en matière</w:t>
      </w:r>
    </w:p>
    <w:p>
      <w:r>
        <w:t>- 13 - civile du 7 décembre 2010 ; BLV 211.01.3], applicable par renvoi de l’art. 26b TFIP), par. 10 fr. 80, et la TVA sur le tout, par 42 fr. 40, soit à 594 fr. au total en chiffres arrondis, seront mis à la charge de F., qui succombe (art. 428 al. 1 CPP). Le remboursement à l’Etat de l’indemnité allouée au défenseur d’office de F. ne sera exigible de ce dernier que pour autant que sa situation financière le permette (art. 135 al. 4 CPP). Par ces motifs, la Chambre des recours pénale prononce : I. Le recours est rejeté. II. L’ordonnance du 27 mai 2023 est confirmée. III. L’indemnité allouée à Me David Métille, défenseur d’office de F., est fixée à 594 fr. (cinq cent nonante-quatre francs). IV. Les frais d’arrêt, par 1’320 fr. (mille trois cent vingt francs), ainsi que l’indemnité allouée à Me David Métille, par 594 fr. (cinq cent nonante-quatre francs), sont mis à la charge de F.. V. Le remboursement à l’Etat de l’indemnité allouée sous chiffre III ci-dessus ne sera exigible de F. que pour autant que sa situation financière le permette. VI. L’arrêt est exécutoire. Le vice-président : La greffière : Du Le présent arrêt, dont la rédaction a été approuvée à huis clos, est notifié, par l'envoi d'une copie complète, à : - Me David Métille, avocat (pour F.),</w:t>
      </w:r>
    </w:p>
    <w:p>
      <w:r>
        <w:t>- 14 - - Ministère public central, et communiqué à : - Mme la Présidente du Tribunal des mesures de contrainte, - Mme la Procureure de l’arrondissement du Nord vaudois, - V., - A., -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