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PE23.007307 vom 4. Oktober 2023</w:t>
      </w:r>
    </w:p>
    <w:p>
      <w:r>
        <w:t>VD Tribunal cantonal, 2023-10-04, FR</w:t>
      </w:r>
    </w:p>
    <w:p>
      <w:r>
        <w:rPr>
          <w:b/>
        </w:rPr>
        <w:t xml:space="preserve">Quelle: </w:t>
      </w:r>
      <w:r>
        <w:t>https://mcp.opencaselaw.ch/entscheid/vd_gerichte_PE23.007307</w:t>
      </w:r>
    </w:p>
    <w:p>
      <w:r>
        <w:t>FR: VD_GERICHTE PE23.007307 du 4 octobre 2023</w:t>
      </w:r>
    </w:p>
    <w:p>
      <w:r>
        <w:t>IT: VD_GERICHTE PE23.007307 del 4 ottobre 2023</w:t>
      </w:r>
    </w:p>
    <w:p>
      <w:pPr>
        <w:pStyle w:val="Heading2"/>
      </w:pPr>
      <w:r>
        <w:t>Erwägungen</w:t>
      </w:r>
    </w:p>
    <w:p>
      <w:r>
        <w:rPr>
          <w:b/>
        </w:rPr>
        <w:t>E. 4</w:t>
      </w:r>
    </w:p>
    <w:p>
      <w:r>
        <w:t>L’appelant conteste la peine privative de liberté qui lui a été infligée dans la seule mesure où il a conclu à son acquittement du vol concernant le cas 8. La peine doit cependant être réexaminée d’office. L’appelant conclut en outre à ce qu’il soit renoncé à révoquer le précédent sursis.</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- 17 -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TF 6B_1268/2023 du 21 décembre 2023 consid. 3.1.1).</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w:t>
      </w:r>
    </w:p>
    <w:p>
      <w:r>
        <w:t>- 18 -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TF 6B_87/2022 du 13 octobre 2022 consid. 2.2 ; TF 6B_434/2021 du 7 avril 2022 consid. 3.3 ; TF 6B_249/2021 du 13 septembre 2021 consid. 5.2).</w:t>
      </w:r>
    </w:p>
    <w:p>
      <w:r>
        <w:rPr>
          <w:b/>
        </w:rPr>
        <w:t>E. 4.1.3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TF 6B_820/2022 du 15 mai 2023 consid. 2.1 ;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134 IV 1 consid. 4.2.1 ; TF 6B_820/2022 précité consid. 2.1 ; TF 6B_147 /2021 du 29 septembre 2021 consid. 3.2). Le défaut de prise de conscience de la faute peut justifier un pronostic défavorable, car seul celui qui se repent de son acte mérite la confiance que l'on doit pouvoir accorder au condamné bénéficiant du</w:t>
      </w:r>
    </w:p>
    <w:p>
      <w:r>
        <w:t>- 19 - sursis (TF 6B_154/2021 du 17 novembre 2021 consid. 7.1; TF 6B_147/2021 précité consid. 3.2 et les arrêts cités). Les antécédents pertinents doivent être pris en compte de manière significative dans l'établissement du pronostic; ils n'excluent toutefois pas nécessairement le sursis (TF 6B_696/2021 du 1er novembre 2021 consid. 5.2). Sont également à prendre en considération les circonstances personnelles jusqu'au moment du jugement, notamment les développements positifs qui ont pu avoir lieu depuis la commission de l'acte (nouvel emploi, nouvelle relation sentimentale stable, etc.; ATF 134 IV 140 consid. 5).</w:t>
      </w:r>
    </w:p>
    <w:p>
      <w:r>
        <w:rPr>
          <w:b/>
        </w:rPr>
        <w:t>E. 4.1.4</w:t>
      </w:r>
    </w:p>
    <w:p>
      <w:r>
        <w:t>Selon l'art. 46 al. 1, 1re phrase,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Selon l'art. 46 al. 2, 1re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TF 6B_1520/2022 du 5 septembre 2023 consid. 5.2 ; TF 6B_1311/2021 du 22 novembre 2022 consid. 3.1).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134 IV 1 consid. 4.2.1; TF 6B_1520/2022 précité consid. 5.2). Lors de l'appréciation des perspectives d'amendement, le juge doit prendre en considération l'effet</w:t>
      </w:r>
    </w:p>
    <w:p>
      <w:r>
        <w:t>- 20 -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TF 6B_1520/2022 précité consid. 5.2).</w:t>
      </w:r>
    </w:p>
    <w:p>
      <w:r>
        <w:rPr>
          <w:b/>
        </w:rPr>
        <w:t>E. 4.2.1</w:t>
      </w:r>
    </w:p>
    <w:p>
      <w:r>
        <w:t>En l’espèce, avec le Tribunal de police, il convient de retenir que la culpabilité de l’appelant est relativement importante. Malgré son arrestation pour les vols retenus contre lui dans le cadre d’une précédente condamnation, l’appelant a persisté dans son activité criminelle. Les justifications qu’il donne à ses agissements, à savoir sa situation financière précaire et son besoin d’assurer sa survie, ainsi que les regrets qu’il a formulés en cours de procédure, doivent être relativisés face à la réitération des vols qu’il a commis selon une méthode bien rodée en profitant de l’inattention des plaignants. A décharge, on retiendra que l’appelant n’a pas eu une vie facile, qu’il n’a pas eu l’occasion d’entreprendre une formation professionnelle lui permettant d’exercer une activité professionnelle convenable en Suisse. On retiendra également le fait que l’appelant a reconnu la matérialité des faits, mis à part le vol décrit au cas 8, ainsi que, pour l’essentiel, les prétentions civiles des parties plaignantes dont il a promis le remboursement grâce à ses économies. On admettra que l’appelant a globalement collaboré à l’enquête, même s’il n’a reconnu les faits qu’à la présentation de preuves accablantes tels que les enregistrements des caméras de surveillance. Ainsi, la gravité des faits repose essentiellement sur leur réitération malgré une précédente condamnation et sur la fréquence à laquelle les infractions ont été commises, de sorte qu’une peine privative de liberté sanctionnant les différents vols est justifiée, pour des raisons de prévention spéciale, au détriment d’une peine pécuniaire qui, vu la</w:t>
      </w:r>
    </w:p>
    <w:p>
      <w:r>
        <w:t>- 21 - situation financière de l’appelant, n’aurait de toute manière aucune pertinence. L’appelant soutient que les jours qu’il a passés en détention provisoire lui auraient permis de prendre conscience de ses agissements et auraient eu un effet dissuasif sur son comportement futur. Il apparaît toutefois que sa précédente condamnation pour des faits similaires ne l’a pas dissuadé de récidiver pendant le délai d’épreuve alors qu’il avait subi de la détention préventive et avait été rendu attentif à une éventuelle révocation du sursis en cas de nouvelle infraction. Le laps de temps très court qui s’est écoulé entre cette condamnation et la première récidive, le 18 mars 2023, est la preuve de l’incapacité de l’appelant à se conformer à l’ordre juridique suisse et que les peines déjà subies n’ont eu aucun effet dissuasif. En l’espace de quelques semaines, l’appelant a commis pas moins de sept vols (dont une tentative). Il apparait ainsi que le pronostic quant à son comportement futur est défavorable, celui-ci s’étant installé durablement dans la délinquance. Vu la récidive commise durant le délai d’épreuve, il convient de révoquer le sursis assortissant la peine privative de liberté de 150 jours prononcée par le Ministère public du canton de Genève le 23 janvier 2023 (cf. art. 46 al. 1 CP). La révocation de ce sursis ne modifiant pas le pronostic, et les deux peines étant du même genre, il convient de fixer une peine d’ensemble. Le vol décrit au cas 6, qui constitue l’infraction la plus grave vu le montant dérobé, justifie, à elle seule, une peine privative de liberté de minimum 45 jours. Par l’effet du concours, cette peine doit être augmentée de 150 jours afin de sanctionner les 5 autres cas de vols (30 j. x 5) et de 15 jours s’agissant de la tentative de vol décrite au cas 7. La peine d’ensemble de 360 jours prononcée en première instance est ainsi adéquate et doit être confirmée. L’amende de 300 fr. prononcée pour sanctionner les contraventions à la LEI et à la LStup, au demeurant non contestée, doit également être confirmée.</w:t>
      </w:r>
    </w:p>
    <w:p>
      <w:r>
        <w:t>- 22 -</w:t>
      </w:r>
    </w:p>
    <w:p>
      <w:r>
        <w:rPr>
          <w:b/>
        </w:rPr>
        <w:t>E. 5</w:t>
      </w:r>
    </w:p>
    <w:p>
      <w:r>
        <w:t>Invoquant l’art. 66a bis CP et le principe de proportionnalité, l’appelant conteste son expulsion du territoire suisse. Il aurait toujours exprimé sa volonté de s’intégrer et de se régulariser en Suisse, pays dans lequel il a vécu, travaillé et a été marié pendant plusieurs années. Il estime avoir collaboré à la procédure et fait valoir que son repentir est sincère et qu’il s’est engagé à entreprendre tout ce qui était nécessaire pour séjourner légalement en Suisse. Il aurait en outre plusieurs connaissances qui pourraient lui offrir un toit ainsi qu’un travail.</w:t>
      </w:r>
    </w:p>
    <w:p>
      <w:r>
        <w:rPr>
          <w:b/>
        </w:rPr>
        <w:t>E. 5.1</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 tourisme criminel » (TF 6B_1398/2022 du 12 mai 2023 consid. 3.1 ; TF 6B_40/2022 du 2 février 2023 consid. 2.1; TF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6B_325/2022 du 22 mai 2023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w:t>
      </w:r>
    </w:p>
    <w:p>
      <w:r>
        <w:t>- 23 - destination et du préjudice que l'intéressé et sa famille auraient à subir du fait de la mesure (cf. ATF 139 I 16 consid. 2.2.1; 135 II 377 consid. 4.3 ; TF 6B_325/2022 précité consid. 1.1 ; TF 6B_756/2021 du 23 mars 2022 consid. 4.1). Les éléments d'ordre médical doivent être pris en compte dans l'examen de l'art. 8 par. 2 CEDH (ATF 145 IV 455 consid. 9.1; TF 6B_908/2019 du 5 novembre 2019 consid. 2.1 in fine; 6B_770/2018 du 24 septembre 2018 consid. 2.1; arrêts CourEDH Hasanbasic contre Suisse du 11 juin 2013 [requête n° 52166/09] § 54; Emre contre Suisse du 22 mai 2008 [requête n° 42034/04] § 71).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(TF 6B_908/2019 précité consid. 2.1 in fine et les références citées).</w:t>
      </w:r>
    </w:p>
    <w:p>
      <w:r>
        <w:rPr>
          <w:b/>
        </w:rPr>
        <w:t>E. 5.2</w:t>
      </w:r>
    </w:p>
    <w:p>
      <w:r>
        <w:t>En l’espèce, sous l’angle de l’intérêt public à l’expulsion, il est incontestable que les infractions commises par Q.________ sont de nature à justifier son expulsion. En effet, l’appelant a commis de nombreux vols – qui constituent des crimes – et ce malgré ses antécédents pour des faits similaires. Sous l’angle de l’intérêt privé à demeurer en Suisse, il est certes vrai que l’appelant a passé de nombreuses années en Suisse mais de manière illégale. De plus, il ne peut pas se prévaloir d’une bonne intégration sociale et personnelle puisqu’il n’a pas de famille en Suisse et seulement quelques amis selon ses dires. Sur le plan professionnel, il a travaillé illégalement et de manière sporadique, mais n’a jamais exercé une activité lucrative fixe, faute d’autorisation de séjour. Lors de l’audience d’appel, il a certes exprimé son souhait de régulariser sa situation afin d’obtenir un emploi, sans avoir pour autant entrepris une quelconque démarche dans ce sens. A l’inverse, ses possibilités de réinsertion dans son pays d’origine sont bonnes. En effet, il a vécu son enfance, puis son adolescence en Algérie où il a suivi une formation de</w:t>
      </w:r>
    </w:p>
    <w:p>
      <w:r>
        <w:t>- 24 - bijoutier jusqu’à ses 17 ans et effectué son service militaire pendant à tout le moins 20 mois. Par la suite, il y a séjourné plusieurs années consécutives après son expulsion de Suisse, soit pendant 6 ans, de 2012 à 2018. Force est donc de constater que l’appelant a pratiquement vécu aussi longtemps à l’étranger qu’en Suisse. En outre, ce dernier a fait valoir son état de santé fragile pour faire obstacle à son expulsion sans pour autant préciser la nature de ses problèmes de santé ou en quoi ceux-ci l’empêcheraient de bénéficier de soins qualitatifs dans son pays d’origine. Dans ces circonstances, un éloignement de Suisse n’est pas de nature à porter atteinte à son droit à la vie privée et son expulsion ne le placerait pas dans une situation personnelle grave, ce d’autant plus qu’il a indiqué être déjà retourné en Algérie afin de soigner une maladie à des coûts préférentiels. Compte tenu de ce qui précède, l’intérêt public à son expulsion de Suisse l’emporte sur son intérêt privé à demeurer dans ce pays, malgré sa relative collaboration à la procédure, ses regrets et ses années passées en Suisse. Au surplus, l’appelant ne remet pas en cause la durée de l’expulsion, ni l’inscription de celle-ci au registre du système d’information Schengen (SIS). Ainsi, l’expulsion de Q.________ du territoire pour une durée de 5 ans ainsi que l’inscription au fichier (SIS) de cette mesure doivent être confirmées.</w:t>
      </w:r>
    </w:p>
    <w:p>
      <w:r>
        <w:rPr>
          <w:b/>
        </w:rPr>
        <w:t>E. 6</w:t>
      </w:r>
    </w:p>
    <w:p>
      <w:r>
        <w:t>En définitive, l’appel de Q.________ doit être rejeté et le jugement entrepris intégralement confirmé.</w:t>
      </w:r>
    </w:p>
    <w:p>
      <w:r>
        <w:rPr>
          <w:b/>
        </w:rPr>
        <w:t>E. 6.1</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Q.________ pour des motifs de sûreté sera ordonné en raison du risque de fuite élevé qu’il présente (art. 221 al. 1 let. a CPP), celui-ci étant ressortissant algérien, aux multiples alias, sans statut en Suisse. Le risque de</w:t>
      </w:r>
    </w:p>
    <w:p>
      <w:r>
        <w:t>- 25 - réitération, attesté par la condamnation à son casier judiciaire susmentionné est également réalisé (art. 221 al. 1 let. c CPP).</w:t>
      </w:r>
    </w:p>
    <w:p>
      <w:r>
        <w:rPr>
          <w:b/>
        </w:rPr>
        <w:t>E. 6.2</w:t>
      </w:r>
    </w:p>
    <w:p>
      <w:r>
        <w:t>Il n’y a pas lieu de s’écarter de la liste d’opérations déposée par Me Meyer, pour Amir Djafarrian, défenseur d’office de Q.________, si ce n’est que les débours seront comptabilisés au taux de 2% et non 5 %. La durée consacrée à l’audience d’appel sera ajoutée. Au tarif horaire de 180 fr. pour l’avocat breveté et de 110 fr. pour l’avocate-stagiaire (art. 2 al. 1 let. a et b RAJ par renvoi de l’art. 26b TFIP), le défraiement s’élève à 790 fr. ([2 h 15 x 180 fr.] +[3 h 30 x 110 fr.]), auquel il convient d’ajouter 2 % pour les débours (art. 3bis al. 1 RAJ par renvoi de l’art. 26b TFIP), soit 15 fr. 80, la TVA à 7.7 %, par 62 fr. 05, soit un total de 867 fr. 85 pour les opérations effectuées en 2023 et à 295 fr. 90 ([2 h 41 x 110 fr.]) de défraiement, auquel il convient d’ajouter 2% pour les débours (art. 3bis al. 1 RAJ par renvoi de l’art. 26b TFIP), soit 5 fr. 90 une vacation à 80 fr., et la TVA à 8.1 % sur le tout, soit 30 fr. 90, ce qui représente une indemnité de 412 fr. 75 pour les opérations effectuées en 2024, soit un montant total de 1'280 fr. 60. Vu l’issue de la cause, les frais de la procédure d’appel, par 3'770 fr. 60, constitués en l’espèce de l’émolument de jugement, par 2'490 fr. (art. 21 al. 1 et 2 TFIP [Tarif des frais de procédure et indemnités en matière pénale du 28 septembre 2010; BLV 312.03.1]), et de l’indemnité allouée au défenseur d'office l’appelant, par 1'280 fr. 60, seront mis à la charge de Q.________. Q.________ sera tenu de rembourser à l’Etat l’indemnité en faveur de son défenseur d’office dès que sa situation financière le permettra (art. 135 al. 4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