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PE23.007100 vom 21. August 2024</w:t>
      </w:r>
    </w:p>
    <w:p>
      <w:r>
        <w:t>VD Tribunal cantonal, 2024-08-21, FR</w:t>
      </w:r>
    </w:p>
    <w:p>
      <w:r>
        <w:rPr>
          <w:b/>
        </w:rPr>
        <w:t xml:space="preserve">Quelle: </w:t>
      </w:r>
      <w:r>
        <w:t>https://mcp.opencaselaw.ch/entscheid/vd_gerichte_PE23.007100</w:t>
      </w:r>
    </w:p>
    <w:p>
      <w:r>
        <w:t>FR: VD_GERICHTE PE23.007100 du 21 août 2024</w:t>
      </w:r>
    </w:p>
    <w:p>
      <w:r>
        <w:t>IT: VD_GERICHTE PE23.007100 del 21 agosto 2024</w:t>
      </w:r>
    </w:p>
    <w:p>
      <w:pPr>
        <w:pStyle w:val="Heading2"/>
      </w:pPr>
      <w:r>
        <w:t>Erwägungen</w:t>
      </w:r>
    </w:p>
    <w:p>
      <w:r>
        <w:rPr>
          <w:b/>
        </w:rPr>
        <w:t>E. 15</w:t>
      </w:r>
    </w:p>
    <w:p>
      <w:r>
        <w:t>novembre 2011 (qui mentionne une provision de 15’0000 fr.) et 12 mars 2014, avaient été adressées au prévenu. Ce dernier avait refusé de payer certaines factures, ce qui démontrait qu’il en avait reçu. Enfin, un échange de courriels entre les parties, du 27 octobre 2011, prouverait qu’il ne demandait pas au prévenu de le rémunérer en espèces sans quittance, mais de lui verser des provisions sur un compte bancaire. L’autorité précédente s’est prononcée sur les deux aspects, à savoir l’absence de note d’honoraires, mais également la sollicitation de paiements en espèces, de sorte que le premier grief de l’appelant est dénué de pertinence. Au surplus, l'absence d'envoi d'une note d'honoraire est effectivement un fait négatif, qui ne peut être prouvé. De même, il est difficile de prouver les sollicitations de paiements en espèces sans quittance, ceux-ci ne laissant par essence pas de trace et étant à même d’incriminer toutes les parties concernées. L'appelant a lui-même indiqué aux débats qu'il y avait parfois des éléments comptables dans sa comptabilité professionnelle qui n’étaient pas exacts. Il aurait fait l’objet de deux contrôles TVA en 2009 et 2019, en particulier par rapport à des notes d’honoraires qui n’avaient pas été déclarées sur un de ses comptes professionnels, pour un montant total d’environ 15'000 francs (jugement querellé, p. 17). Si selon lui aucun</w:t>
      </w:r>
    </w:p>
    <w:p>
      <w:r>
        <w:t>- 16 - versement en espèces n’aurait jamais été relevé dans ces contrôles, les pièces produites dans le cadre de la procédure civile semblent attester du contraire, puisque la Cour d’appel civile a retenu des revenus non annoncés pour calculer le montant de l’entretien dû, et souligné qu’il existait « de nombreux retraits et versements sur les comptes bancaires de l’appelant dont on ignore les causes, qu’il est notamment possible que l’appelant perçoive des honoraires en espèces (cf. pièce 490 produite le 2 septembre 2022) ou sur ses comptes privés (cf. versement du 25 juin 2021 susmentionné) ». Au demeurant, on ne saurait prêter à l’échange de courriels du 27 octobre 2011 (P. 19/2) le sens que l’appelant lui donne. Dans cet échange, le prévenu demande à l’appelant de lui indiquer le montant des honoraires qu’il lui doit. Il précise que cela le blesse que B.Y.________ aille raconter autour d’elle qu’il n’aurait jamais payé A.Y.________. Ce dernier l’invite à s'acquitter d'une provision complémentaire – correspondant à « ce que tu m’as dit que tu me verserai [sic] lors de notre entretien tél » – aux 5'000 fr. déjà versés le 21 juillet 2009, toujours sur le compte IBAN [...], soit un compte qui n’apparaît pas dans sa comptabilité professionnelle. S’agissant du détail des opérations effectuées, l’avocat explique qu’il devrait « reprendre les 5 classeurs pour vérifier les données time-sheet ». Il estime qu’il s’agirait de 120 heures et donc 50'000 fr. « pour un client normal qu’a du pognon ». L’appelant écrit ensuite : « Pour le surplus [soit le solde dû], on va discuter. On pourrait p. ex arrêter un chiffre raisonnable et fixer une [sic] échéancier ou une très large limite de paiement en te permettant d'y donner suite lorsque les affaires seront meilleures et pour le solde me donner une [sic] crédit en nature (non rien de sexuel !) si un jour j'ai besoin de conseils informatiques ou ton intervention dans le domaine (p. un crédit en nombre d'heures à tarif d'informaticien). Je sais pas. J'aimerais que la solution qu'on trouve soit la plus amicale et raisonnable. Dis moi ce que t'en pense déjà sur le principe et je m'activerai ensuite à faire un décompte plus précis. Poutou. Juju ». Cet échange démontre une certaine opacité dans la gestion financière des activités d’avocat de l’appelant pour le compte du prévenu, tout comme le fait que le conseil pouvait se faire payer de façon bien peu conventionnelle</w:t>
      </w:r>
    </w:p>
    <w:p>
      <w:r>
        <w:t>- 17 - pour une partie au moins de ses honoraires, puisqu'il propose au prévenu – parce qu’il est son ami – de se faire rémunérer « en nature ». Au vu du contenu du courriel du 27 octobre 2011, il est par ailleurs troublant qu’environ un mois et demi plus tard l’appelant aurait adressé au prévenu une note d’honoraires – que le destinataire conteste avoir reçue – portant sur 123 heures d’activité d’avocat au tarif horaire de 400 fr., soit un total de 49'200 fr. (P. 5/8), correspondant pour ainsi dire à la facture pour « un client normal qu’a du pognon ». Cette note mentionne une provision de 15'000 fr., censée englober soit un versement en espèces de 15'000 fr. par le prévenu à l’appelant dans un litige l’opposant à [...] Ltd (P. 4, pt. 15), soit la provision de 5'000 fr. versée le 21 juillet 2009 ainsi qu’un versement en espèces de 10'000 fr. (jugement querellé, p. 19), l’appelant ayant tenu à cet égard deux raisonnements distincts. Quoi qu’il en soit, A.Y.________ a admis avoir reçu 10'000 fr. (jugement querellé, p. 19), respectivement 15'000 fr. (P. 4, pt. 15) en espèces de X.________ en lien avec cette transaction. Par ailleurs, le fait que le prévenu ait reçu quelques notes d’honoraires ou bénéficié de l’assistance judiciaire pour certaines procédures n’est pas à même d’exclure que A.Y.________ ait pu rendre d’autres services au prévenu en appliquant les pratiques décriées. Ce dernier a d’ailleurs expliqué qu’il requérait l’assistance judiciaire quand cela était possible (P. 4, pt. 13), ce qui implique que tel n’était pas toujours le cas. Au demeurant, X.________ a précisé dans son attestation avoir peut-être reçu des notes d’honoraires au début, sans être certain. Le prévenu a été confronté à de nombreuses procédures judiciaires au fil des années et il n’est dès lors pas étonnant qu’il n’ait pas de souvenirs précis s’agissant des notes d’honoraires qui lui auraient été adressées. On ne saurait dès lors retenir que les accusations du prévenu étaient fausses, ni que celui-ci le savait. 3.3.3 L’appelant se plaint ensuite du fait que l’autorité précédente n'aurait pas tenu compte des éléments probants attestant que le prévenu mentait lorsqu’il disait que A.Y.________ aurait défendu d'autres amis de leur groupe avec le même mode de fonctionnement.</w:t>
      </w:r>
    </w:p>
    <w:p>
      <w:r>
        <w:t>- 18 - Il est vrai que l'instruction n'a pas permis d'établir que d'autres amis auraient payé l’appelant sans facture ni quittance. Cela n’est toutefois pas surprenant en soi, ces pratiques étant destinées à ne pas laisser de traces et les membres d’un même cercle d’amis n’étant probablement pas enclins à se dénoncer. Selon X.________, H.________, avocat, et C.Z.________, frère du plaignant, en auraient bénéficié (PV aud. 2, p. 2, nos 51 et 69). S'agissant du second, il ressort de l'audition de D.Z.________, ex-épouse de l’appelant qui a tenu la comptabilité de la société de son mari durant quatre ans, que des notes d'honoraires de A.Y.________ leur étaient adressées. Cela ne signifie pas pour autant qu’aucune prestation n’aurait été effectuée sans facturation. En ce qui concerne H.________, ce nom aurait été soufflé au prévenu par B.Y.________. L’appelant a produit lors des débats une lettre de ce confrère, datée du 14 août 2024, qui explique que leurs relations privées et professionnelles d'avocats n'impliquaient jamais aucune facturation d'honoraires pour les services qu'ils se rendaient réciproquement. Sont évoqués la rédaction de garanties bancaires ou de contrats internationaux, ou une représentation dans un litige contre un bailleur en 2008 et contre un ex-employeur en 2012, sans parler d'appels téléphoniques sur des questions juridiques complexes. Il en découle qu'un travail – manifestement important – a été effectué sans factures, dans un échange de bon procédé entre amis. Par ailleurs, H.________ dit avoir offert, en 2016, un voyage d'une valeur de 10'000 fr. à A.Y.________ et son épouse. En 2021, il dit lui avoir viré 15'000 fr., lorsque A.Y.________ lui a « fait part de [ses] difficultés financières », « sans préciser s'il s'agissait d'une avance, d'un prêt avec ou sans intérêts ou simplement d'aider un ami proche ». Une telle générosité, sans contrepartie, est surprenante. Surtout, à la lecture de la décision civile, il n’apparaît pas que A.Y.________ aurait connu des difficultés financières en 2021. Fin 2021, il disposait en effet de plus de 250'000 fr. sur ses comptes bancaire (P. 25/2). Dans ces circonstances, même s'il n'a pas été établi que A.Y.________ aurait encaissé des honoraires en espèces et sans quittance</w:t>
      </w:r>
    </w:p>
    <w:p>
      <w:r>
        <w:t>- 19 - auprès d'autres amis, l’on ne saurait retenir que ce fait est faux, d'une part, ni que X.________ le savait, d'autre part. 3.3.4 Enfin, pour l'appelant, le sens général qui se dégagerait de l'attestation rédigée par X.________ ne serait pas que l'avocat ne déclarerait pas tous ses revenus au fisc, mais qu'il percevrait des honoraires en cash sans quittance de ses clients, ce qui pourrait expliquer son train de vie élevé. Or, les témoignages et pièces produites en procédure démontreraient que l’appelant et son épouse bénéficiaient de revenus relativement élevés qui étaient parfaitement compatibles avec un train de vie confortable. Si le premier juge a effectivement considéré que le sens général de l’attestation était que A.Y.________ ne déclarait pas tous ses revenus, elle ne mentionne pas le fisc, mais précise qu’il ne déclare pas ses revenus afin de ne pas assumer pleinement ses obligations découlant du droit de la famille. D’ailleurs, les propos attentatoires à l'honneur reprochés au prévenu dans l'acte d'accusation du 3 mars 2024 concernent l'accusation du plaignant d'avoir un train de vie élevé incompatible avec les revenus indiqués dans sa procédure de divorce. Le premier reproche de l’appelant tombe ainsi à faux. Pour le surplus, les éléments au dossier permettent de retenir que l’appelant a effectivement mené un train de vie luxueux. Selon A.Y.________, cela aurait été rendu possible par le cumul des revenus du couple. Or, le revenu de son épouse était clairement moindre par rapport au sien ; s’il a pu participer à l’entretien de la vie de famille, il ne saurait être à l’origine de dépenses luxueuses telles que voyages à budget élevé, voitures de luxe, bijoux de qualité, accessoires de marque, achat de biens immobiliers conséquents, rachats de prévoyance professionnelle ou encore paiement de travaux de plusieurs centaines de milliers de francs dans la maison familiale sans adaptation de l’hypothèque. B.Y.________ a d'ailleurs expliqué aux débats de première instance de manière parfaitement crédible le fonctionnement financier du couple, à savoir que son salaire était quasiment entièrement dépensé pour le paiement de la</w:t>
      </w:r>
    </w:p>
    <w:p>
      <w:r>
        <w:t>- 20 - femme de ménage, des assurances-maladies de ses filles et d’elle-même ainsi que de la crèche, respectivement la moitié des frais de l’école privée. A.Y.________ payait tout le reste (jugement querellé, p. 12). Les déclarations de l’appelant paraissent dès lors peu plausibles. Par ailleurs, pour calculer le montant de l’entretien dû, le Tribunal cantonal a retenu que l’examen des pièces produites « révèle la prise en compte de frais purement privés et de revenus non annoncés » (P. 25/2/1). L’autorité a souligné qu’il existait « de nombreux retraits et versements sur les comptes bancaires de l’appelant dont on ignore la cause », qu’il était « notamment possible que l’appelant perçoive des honoraires en espèces (cf. pièce 490 produite le 2 septembre 2022) ou sur ses comptes privés (cf. versement du 25 juin 2021 susmentionné) » et qu’il était « difficile de déterminer exactement son revenu réel » (P. 25/2/1). Enfin, le juge civil a retenu que B.Y.________ avait rendu vraisemblable que le revenu de A.Y.________ était supérieur au montant retenu en première instance (P. 25/2/1). En procédure pénale, A.Y.________ n'a donné aucune explication sur ces éléments, en indiquant que le jugement civil avait été contesté au Tribunal fédéral. Au demeurant, contrairement à ce qu’il allègue, l’arrêt de la Cour cantonale ne se fonde pas uniquement sur l’attestation litigieuse, mais également sur des preuves matérielles dont ressortent des revenus supérieurs à ceux annoncés par l’appelant. Partant, la fausseté des accusations portées par le prévenu contre l’appelant n’est là non plus pas établie. Par surabondance, il doit être constaté que X.________ a de manière constante expliqué avoir agi parce qu'il ne tolérait pas l’injustice. Lorsqu’il avait appris que A.Y.________ déclarait, dans le cadre de sa procédure de divorce, 90'000 fr. de revenu annuel, il s'était senti dans l’obligation de rétablir la vérité. Ces déclarations renforcent la conviction que le prévenu n’a pas agi par malveillance et qu’il était convaincu de la véracité de ses allégations.</w:t>
      </w:r>
    </w:p>
    <w:p>
      <w:r>
        <w:t>- 21 - Au vu de l’ensemble des éléments qui précèdent, l’appel de A.Y.________ doit être rejeté. Appel de X.________ 4. 4.1 X.________ conteste le refus de l’autorité précédente de lui allouer une indemnité de 4'072 fr. 67 à titre de l'article 429 CPP requise pour les opérations effectuées par son conseil entre le 18 mars 2024 et le jour de l'audience de première instance. 4.2 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n’opérant aucune distinction entre l’indemnité allouée et les honoraires dus en cas de défense privée. L’allocation d’une indemnité pour frais de défense selon cette disposition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(ATF 138 IV 197 consid. 2.3.5, JdT 2013 IV 184). Concernant un</w:t>
      </w:r>
    </w:p>
    <w:p>
      <w:r>
        <w:t>- 22 -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 TF 6B_1381/2021 du 7 septembre 2022 consid. 3.3.1).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consid. 2.2). L’indemnité doit intervenir même si le prévenu bénéficie d’une protection juridique (ATF 142 IV 42 consid. 2, JdT 2016 IV 280). 4.3 En l’espèce, le Tribunal de police a motivé le rejet de l’indemnité requise par l’appelant en relevant que la cause ne présentait de difficultés ni en fait ni en droit et que le critère de l'égalité des armes – vu la profession exercée par le plaignant – ne paraissait pas pertinent. C’étaient en effet les faits de la cause qui permettaient de juger de la difficulté de celle-ci et pas le fait qu’un avocat soit partie, au risque d'octroyer sinon systématiquement de telles indemnités, voire l'assistance d'un conseil juridique, dans de tels cas. A.Y.________ a déposé plainte pénale contre X.________ le 6 décembre 2022, lui reprochant la teneur de son écrit du 25 août 2022. Le 16 mars 2023, X.________ a été entendu par la Police cantonale. Le 6 mars 2024, la Procureure a ouvert une instruction pénale et a rendu, le même jour, une ordonnance pénale au terme de laquelle X.________ a été condamné pour calomnie à une peine de 30 jours-amende avec sursis de trois ans et une amende de 500 francs. Après avoir fait opposition à l'ordonnance, il a été entendu par la Procureure qui a confirmé son ordonnance, entraînant ainsi le renvoi du prévenu devant le Tribunal de</w:t>
      </w:r>
    </w:p>
    <w:p>
      <w:r>
        <w:t>- 23 - police. X.________ a mandaté Me Joël Crettaz le 17 avril 2024. L'audience du Tribunal de police s'est tenue le 21 août 2024. X.________ a bénéficié d’un classement et les frais relatifs à cette décision ont été laissés à la charge de l’Etat. Une indemnité était dès lors en principe due au recourant en application de l'art. 429 al. 1 let. a CPP si l’assistance d’un avocat devait être considérée comme raisonnable. A cet égard, il faut constater que la cause n’était certes pas compliquée, mais que le recours à un avocat se révélait néanmoins nécessaire. On ne peut en particulier pas retenir qu’elle ne présentait aucune difficulté pour le prévenu, non habitué à procéder. L’instruction pénale ouverte concernait une calomnie, soit un délit pouvant entraîner une peine privative de liberté de trois ans au maximum, qui aurait vraisemblablement valu une inscription au casier judiciaire. L’intéressé s’est vu impartir un délai de 15 jours par le Ministère public pour se déterminer sur la plainte, près d'une année après son audition. Une ordonnance pénale a été rendue quelques jours après le terme du délai, sans qu’il ne soit entendu. X.________ ne pouvait dès lors qu’être inquiet du fait que la procédure s’achève de cette manière, ce qui nécessitait l’assistance d’un avocat pour s’y opposer et faire défendre ses intérêts. Au demeurant, l'activité déployée par le mandataire du recourant a permis l’acquittement complet du prévenu, en lieu et place de la condamnation pénale prononcée par le Ministère public. Enfin, l'intervention d'un avocat était d'autant plus légitime que l'appelant s'est trouvé opposé à un plaignant avocat qui a plaidé sa cause à l'audience de jugement. Au vu de ce qui précède, le recours à un avocat s’avérait raisonnable et justifié. Une indemnité au sens de l’art. 429 al. 1 let. a CPP doit dès lors être accordée à X.________ pour la procédure de première instance, à la charge de l’Etat. Comme requis (P. 30), il sera retenu 15h07 d’activité d’avocat. Sur la base de l’art. 26a al. 2 et 3 TFIP, au vu de la difficulté limitée de la cause notamment, c’est un tarif horaire de 250 fr. qui sera retenu. Ainsi, l’indemnité est fixée à 4'072 fr., TVA et débours compris.</w:t>
      </w:r>
    </w:p>
    <w:p>
      <w:r>
        <w:t>- 24 - 5. En définitive, l’appel de A.Y.________ doit être rejeté, l’appel de X.________ admis et le jugement réformé dans le sens des considérants. X.________, assisté d’un défenseur de choix, a droit à une indemnité pour les frais de défense occasionnés par la procédure d’appel (art. 429 al. 1 CPP applicable par renvoi de l’art. 436 al. 1 CPP), à la charge de A.Y.________ (art. 432 al. 2 CPP). Me Crettaz a produit une liste d’opérations faisant état de 5h53 d’activité d’avocat au tarif horaire de 250 fr. et 2h15 d’activité d’avocat-stagiaire au tarif horaire de 150 fr. (P. 51). Ces durées peuvent être admises, étant précisé qu’il y a lieu d’y ajouter la durée de l’audience, soit 1h10, à laquelle a assisté l’avocat. Les tarifs horaires peuvent également être admis. L’indemnité sera ainsi fixée à 2'100 fr. (1'762 fr. 50 + 337 fr. 50), montant auquel il convient d’ajouter des frais forfaitaires à concurrence de 2 % des honoraires admis (art. 19 al. 2 TDC [tarif des dépens en matière civile du 23 novembre 2010 ; BLV 270.11.6], applicable par renvoi de l’art. 26a al. 6 TFIP), par 42 fr., une vacation à 120 fr., et la TVA sur le tout, par 183 fr. 20, soit un total de 2'445 fr. 20. A cet égard, il est constaté une erreur de calcul manifeste dans le chiffre IV du dispositif notifié aux parties le 31 janvier 2025. Celle- ci sera rectifiée d’office (art. 83 al. 1 CPP). En application de l’art. 429 al. 3 CPP, l’indemnité sera allouée à son défenseur, Me Joël Crettaz, directement. Vu l’issue de la cause, les frais de la procédure d’appel, constitués de l’émolument d’audience et de jugement, par 2’460 fr. (art. 21 al. 1 et 2 TFIP), seront mis à la charge de A.Y.________, qui succombe (art. 428 al. 1, 1re phrase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