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PE23.006910 vom 28. Juni 2024</w:t>
      </w:r>
    </w:p>
    <w:p>
      <w:r>
        <w:t>VD Tribunal cantonal, 2024-06-28, FR</w:t>
      </w:r>
    </w:p>
    <w:p>
      <w:r>
        <w:rPr>
          <w:b/>
        </w:rPr>
        <w:t xml:space="preserve">Quelle: </w:t>
      </w:r>
      <w:r>
        <w:t>https://mcp.opencaselaw.ch/entscheid/vd_gerichte_PE23.006910</w:t>
      </w:r>
    </w:p>
    <w:p>
      <w:r>
        <w:t>FR: VD_GERICHTE PE23.006910 du 28 juin 2024</w:t>
      </w:r>
    </w:p>
    <w:p>
      <w:r>
        <w:t>IT: VD_GERICHTE PE23.006910 del 28 giugno 2024</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pénale du Tribunal cantonal est compétente pour statuer sur la demande de récusation présentée par [...] (art. 59 al. 1 let. b CPP et art. 13 al. 1 LVCPP [Loi d’introduction du Code de procédure pénale suisse du 19 mai 2009 ; BLV 312.01] ; CREP 18 avril 2023/270 consid. 1; CREP 21 août 2018/616 consid. 1).</w:t>
      </w:r>
    </w:p>
    <w:p>
      <w:r>
        <w:rPr>
          <w:b/>
        </w:rPr>
        <w:t>E. 2.1</w:t>
      </w:r>
    </w:p>
    <w:p>
      <w:r>
        <w:t>L'art. 56 let. a à e CPP énonce divers motifs de récusation qualifiés à l'égard de toute personne exerçant une fonction au sein d’une autorité pénale. L’art. 56 let. f CPP impose pour sa part la récusation du fonctionnaire ou magistrat concerné « lorsque d'autres motifs, notamment un rapport d'amitié étroit ou d'inimitié avec une partie ou son conseil, sont de nature à le rendre suspect de prévention ». Cette disposition a la</w:t>
      </w:r>
    </w:p>
    <w:p>
      <w:r>
        <w:t>- 4 -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1B_598/2022 du 30 décembre 2022 consid. 2 ; TF 1B_110/2022 du 19 avril 2022 consid. 2.1 et les références citées).</w:t>
      </w:r>
    </w:p>
    <w:p>
      <w:r>
        <w:rPr>
          <w:b/>
        </w:rPr>
        <w:t>E. 2.2</w:t>
      </w:r>
    </w:p>
    <w:p>
      <w:r>
        <w:t>En l’espèce, la prévenue est une ancienne magistrate, [...], du [...] appelé à statuer. Le motif de récusation est donc bien fondé. En effet, la situation particulière de ce tribunal – et des magistrats qui le composent – par rapport à leur ancienne collègue, et amie pour certains, est objectivement de nature à faire naître un doute sur son impartialité.</w:t>
      </w:r>
    </w:p>
    <w:p>
      <w:r>
        <w:rPr>
          <w:b/>
        </w:rPr>
        <w:t>E. 3</w:t>
      </w:r>
    </w:p>
    <w:p>
      <w:r>
        <w:t>Au vu de ce qui précède, il convient d'admettre la demande de récusation en corps déposée le 4 juin 2024 par le [...] et de transmettre la cause au [...] (art. 4a al. 4 LVCPP). Les frais de la présente décision, par 550 fr. (art. 20 al. 1 TFIP [tarif des frais judiciaires pénaux ; BLV 312.03.1]), seront laissés à la charge de l’Etat (art. 59 al. 4 CPP).</w:t>
      </w:r>
    </w:p>
    <w:p>
      <w:r>
        <w:t>- 5 - Par ces motifs, la Chambre des recours pénale prononce : I. La demande de récusation en corps du [...] est admise. II. La cause est transmise au [...]. III. Les frais de la présente décision, par 550 fr. (cinq cent cinquante francs), sont laissés à la charge de l’Etat. IV. La décision est exécutoire. Le président : La greffière : Du La présente décision, dont la rédaction a été approuvée à huis clos, est notifiée, par l'envoi d'une copie complète, à : - [...], - Me Alain Pichard, avocat (pour Mme [...]) - Me Césard Montalto, avocat (pour Mme [...]) - Ministère public central, et communiquée à : - [...], - M. le Procureur de l'arrondissement de l'Est vaudois, par l’envoi de photocopies. La présente décision peut faire l'objet d'un recours en matière pénale devant le Tribunal fédéral au sens des art. 78 ss LTF (loi du 17 juin</w:t>
      </w:r>
    </w:p>
    <w:p>
      <w:r>
        <w:t>- 6 - 2005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