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PE23.006871 vom 30. Januar 2024</w:t>
      </w:r>
    </w:p>
    <w:p>
      <w:r>
        <w:t>VD Tribunal cantonal, 2024-01-30, FR</w:t>
      </w:r>
    </w:p>
    <w:p>
      <w:r>
        <w:rPr>
          <w:b/>
        </w:rPr>
        <w:t xml:space="preserve">Quelle: </w:t>
      </w:r>
      <w:r>
        <w:t>https://mcp.opencaselaw.ch/entscheid/vd_gerichte_PE23.006871</w:t>
      </w:r>
    </w:p>
    <w:p>
      <w:r>
        <w:t>FR: VD_GERICHTE PE23.006871 du 30 janvier 2024</w:t>
      </w:r>
    </w:p>
    <w:p>
      <w:r>
        <w:t>IT: VD_GERICHTE PE23.006871 del 30 gennaio 2024</w:t>
      </w:r>
    </w:p>
    <w:p>
      <w:pPr>
        <w:pStyle w:val="Heading2"/>
      </w:pPr>
      <w:r>
        <w:t>Erwägungen</w:t>
      </w:r>
    </w:p>
    <w:p>
      <w:r>
        <w:rPr>
          <w:b/>
        </w:rPr>
        <w:t>E. 4.1</w:t>
      </w:r>
    </w:p>
    <w:p>
      <w:r>
        <w:t>L'appelant ne conteste la qualification de mise en danger de la vie d'autrui que parce qu'il nie avoir placé le couteau contre la gorge de la victime ; il l'aurait seulement menacée à une distance n'impliquant aucun risque mortel. De même, il conteste les dommages à la propriété parce qu'il nie avoir poussé la victime contre le scooter. Le plaignant, effrayé d'être</w:t>
      </w:r>
    </w:p>
    <w:p>
      <w:r>
        <w:t>- 20 - ceinturé, se serait retourné, aurait reculé et ce faisant renversé son deux- roues.</w:t>
      </w:r>
    </w:p>
    <w:p>
      <w:r>
        <w:rPr>
          <w:b/>
        </w:rPr>
        <w:t>E. 4.2</w:t>
      </w:r>
    </w:p>
    <w:p>
      <w:r>
        <w:t>Les faits étant retenus, ces qualifications sont bien fondées. On peut observer que le prévenu n'exclut pas que sa comparse C.________ ait pu commettre certains des actes qui lui sont imputés, comme par exemple placer le couteau contre la gorge du plaignant. Or, il doit de toute façon assumer comme coauteur les actions de l'intéressée, dont il ne s'est jamais dissocié. Peu importe en outre que les dommages à la propriété n'aient pas été un but en soi. Ils ont été « acceptés » comme une conséquence possible de l'agression, ce qui réalise le dol éventuel. La condamnation de l’appelant pour mise en danger de la vie d’autrui au sens de l’art. 129 CP et dommages à la propriété au sens de l’art. 144 al. 1 CP doit donc être confirmée.</w:t>
      </w:r>
    </w:p>
    <w:p>
      <w:r>
        <w:rPr>
          <w:b/>
        </w:rPr>
        <w:t>E. 5.1</w:t>
      </w:r>
    </w:p>
    <w:p>
      <w:r>
        <w:t>Le Ministère public soutient que c'est la qualification d'extorsion et chantage qualifiés qui aurait dû être retenue, en lieu et place d'une combinaison des infractions de lésions corporelles simples qualifiées, mise en danger de la vie d'autrui et contrainte. Il fait valoir que les trois comparses ont agressé physiquement et menacé la victime, puis encore exigé sa montre à titre de garantie, pour la contraindre à leur remettre une somme d'argent. Que le prévenu ait agi « comme auteur principal » ou « comme homme de main de M.________ », le dessein d'enrichissement illégitime était réalisé parce qu'il n'avait aucune créance personnelle contre la victime et n'était pas entièrement convaincu que son amie en avait une.</w:t>
      </w:r>
    </w:p>
    <w:p>
      <w:r>
        <w:rPr>
          <w:b/>
        </w:rPr>
        <w:t>E. 5.2</w:t>
      </w:r>
    </w:p>
    <w:p>
      <w:r>
        <w:t>Conformément à l'art. 156 CP, celui qui, dans le dessein de se procurer ou de procurer à un tiers un enrichissement illégitime, aura déterminé une personne à des actes préjudiciables à ses intérêts pécuniaires ou à ceux d'un tiers, en usant de violence ou en la menaçant</w:t>
      </w:r>
    </w:p>
    <w:p>
      <w:r>
        <w:t>- 21 -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CP (ch. 3). Par ailleurs,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 ATF 125 IV 134 consid. 3a ; ATF 120 IV 136 consid. 2b, 265 consid. 2c/aa). La jurisprudence exige même que le coauteur ait une certaine maîtrise des opérations et que son rôle soit plus ou moins indispensable (ATF 120 IV 17 consid. 2d ; ATF 136 consid. 2b, 265 consid. 2c/aa ; ATF 118 IV 397 consid. 2b).</w:t>
      </w:r>
    </w:p>
    <w:p>
      <w:r>
        <w:rPr>
          <w:b/>
        </w:rPr>
        <w:t>E. 5.3</w:t>
      </w:r>
    </w:p>
    <w:p>
      <w:r>
        <w:t>En l'occurrence, le tribunal correctionnel n'a pas retenu l'infraction de l'art. 156 CP pour l'agression en vue de réclamer une somme d'argent, parce qu'il a considéré que le prévenu pensait réellement que la somme exigée était due, de sorte que le dessein d'enrichissement illégitime faisait défaut. Il a retenu la contrainte parce</w:t>
      </w:r>
    </w:p>
    <w:p>
      <w:r>
        <w:t>- 22 - que les comparses avaient obtenu de la victime son numéro de téléphone et la promesse de se rendre à un rendez-vous ultérieur en vue du paiement de la somme exigée. En ce qui concernait la montre, l'acte d'accusation qui mentionnait seulement que le prévenu avait pris la montre, et pas qu'il se l'était fait remettre par la contrainte, était insuffisant pour retenir cette infraction. Il est vrai que le prévenu n'avait pas une idée claire de ce qui était dû à M.________, il était convaincu de réparer un tort subi par celle-ci en faisant en sorte qu'elle puisse récupérer une créance. A cela s’ajoute que le plaignant a expliqué, lors de sa première audition, que le prévenu lui avait dit « tu sais pourquoi on est là, tu dois de l'argent à M.________ » et l'avait menacé s'il ne « remboursait pas ». Au vu de ces éléments, on ne saurait considérer que l’appelant a agi dans un dessein d’enrichissement illégitime. Cet élément constitutif de l'infraction d'extorsion et chantage faisant défaut, l’art. 156 CP n’entre pas en considération. C’est donc à bon droit que les premiers juges ont libéré l’appelant de ce chef de prévention. En revanche, l’infraction de contrainte au sens de l’art. 181 CP est aussi réalisée pour la montre, qui n'a pas été offerte par le plaignant de son plein gré, l'acte d'accusation étant suffisant pour comprendre cela.</w:t>
      </w:r>
    </w:p>
    <w:p>
      <w:r>
        <w:rPr>
          <w:b/>
        </w:rPr>
        <w:t>E. 6.1</w:t>
      </w:r>
    </w:p>
    <w:p>
      <w:r>
        <w:t>Les deux appelants contestent la quotité de la peine privative de liberté et le prévenu le refus du sursis, à tout le moins partiel. Le prévenu soutient que la motivation serait lacunaire mais aussi arbitraire. Il fait valoir qu'il a exprimé des regrets depuis le début de l'enquête, qu'il s'est excusé auprès de la victime, qu'il a pleinement collaboré en reconnaissant la majeure partie des faits dès sa première audition, qu'il a agi en pensant de bonne foi aider M.________ qu'il considérait comme une petite sœur et qui l'avait en outre manipulé en lui racontant avoir été sexuellement abusée par le plaignant, que ses casiers judiciaires suisse et français sont vierges, qu'il est très jeune et que la</w:t>
      </w:r>
    </w:p>
    <w:p>
      <w:r>
        <w:t>- 23 - peine ferait obstacle à son insertion professionnelle. Il plaide qu'il s'agit d'un cas isolé, qu'il a compris la leçon et qu'une peine plus clémente assortie d'un sursis partiel suffirait à le dissuader de commettre d'autres infractions. Le Ministère public requiert le prononcé d’une peine privative de liberté de 6 ans, en se fondant sur la prémisse que c'est l'art. 156 ch. 3 CP qui sera appliqué, qui prévoit, par renvoi à l'art. 140 ch. 4 CP, une peine minimale de 5 ans.</w:t>
      </w:r>
    </w:p>
    <w:p>
      <w:r>
        <w:rPr>
          <w:b/>
        </w:rPr>
        <w:t>E. 6.2.1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- 24 -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t>- 25 -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 938/2021). Le défaut de prise de conscience de la faute peut justifier un pronostic défavorable, car seul celui qui se repent de son acte mérite la confiance que l'on doit pouvoir accorder au condamné bénéficiant du sursis (TF 6B_930/2021, 6B_938/2021 ; TF 6B_1403/2021 ; TF 6B_1175/2021).</w:t>
      </w:r>
    </w:p>
    <w:p>
      <w:r>
        <w:rPr>
          <w:b/>
        </w:rPr>
        <w:t>E. 6.3.1</w:t>
      </w:r>
    </w:p>
    <w:p>
      <w:r>
        <w:t>Les premiers juges, vu la quotité de la peine prononcée, n'ont pas examiné la question du sursis. Ils ont estimé que la culpabilité du prévenu était lourde, qu'il s'en était pris sans scrupules à sa victime pour une faible somme d'argent, voire sous le coup de l'énervement au sujet de</w:t>
      </w:r>
    </w:p>
    <w:p>
      <w:r>
        <w:t>- 26 - faits qui ne le concernaient pas ; que sa prise de conscience et son repentir paraissaient relatifs puisqu'il continuait à contester les faits les plus graves et avait attendu les débats pour présenter directement ses excuses au plaignant ; qu'il ne s'était pas montré « extrêmement collaborant », attendant de ne plus avoir d'autre choix avant d'avouer une partie des faits et couvrant aussi longtemps que possible ses complices. A décharge, les premiers juges ont retenu son admission d'une partie des faits, les excuses finalement présentées et l'acquiescement aux conclusions civiles. Ces considérations ne sont pas toutes adéquates. Il est vrai que la culpabilité du prévenu est importante et que les faits sont graves. L'agression était d'une violence incroyable, verbalement à tout le moins, pour une aussi petite somme d'argent. Certes, le prévenu s'est mêlé de ce qui ne le regardait pas et a fait un choix tactique indéfendable, mais il était mû par sa volonté altruiste d'aider une amie. Par ailleurs, il a le droit de se taire. Il a malgré tout rapidement admis son implication et l'essentiel des faits. Il semble avoir pris conscience de l'absurdité de son geste, si ce n'est de sa gravité. Dans cette optique, il a tout de même présenté des excuses et admis les conclusions civiles. Il aurait pu écrire une lettre au plaignant en passant par son avocat, à défaut de pouvoir lui écrire directement comme il le souhaitait, mais peut-être qu'il n'y a pas pensé et que personne ne l'a informé de cette possibilité.</w:t>
      </w:r>
    </w:p>
    <w:p>
      <w:r>
        <w:rPr>
          <w:b/>
        </w:rPr>
        <w:t>E. 6.3.2</w:t>
      </w:r>
    </w:p>
    <w:p>
      <w:r>
        <w:t>Pour des motifs de prévention spéciale, le crime et les délits passibles d’une telle peine doivent être punis d’une peine privative de liberté. L’infraction la plus grave est celle de mise en danger de la vie d’autrui. Vu les éléments rappelés ci-dessus, elle doit être sanctionnée d’une peine privative de liberté de 2 ans. Par l’effet du concours, cette peine doit être augmentée de 6 mois pour les lésions corporelles simples qualifiées, de 5 mois pour la contrainte et de 1 mois pour les dommages à la propriété.</w:t>
      </w:r>
    </w:p>
    <w:p>
      <w:r>
        <w:t>- 27 - En définitive, c’est une peine privative de liberté de 3 ans qui doit être prononcée.</w:t>
      </w:r>
    </w:p>
    <w:p>
      <w:r>
        <w:rPr>
          <w:b/>
        </w:rPr>
        <w:t>E. 6.3.3</w:t>
      </w:r>
    </w:p>
    <w:p>
      <w:r>
        <w:t>A cette peine privative de liberté s’ajoute une peine pécuniaire pour sanctionner l’infraction d’injure. Au vu des éléments mentionnés ci- dessus (cf. consid. 6.3.1), c’est une peine pécuniaire de 10 jours-amende qui doit être prononcée à l’encontre de G.________. Compte tenu de la situation personnelle et financière du prénommé, le montant du jour- amende, fixé à 30 fr., est adéquat.</w:t>
      </w:r>
    </w:p>
    <w:p>
      <w:r>
        <w:rPr>
          <w:b/>
        </w:rPr>
        <w:t>E. 6.4</w:t>
      </w:r>
    </w:p>
    <w:p>
      <w:r>
        <w:t>Vu la quotité de la peine privative de liberté prononcée, on peut d’emblée relever que l’octroi d’un sursis complet est exclu de par la loi (cf. art. 42 al. 1 CP). Se pose en revanche la question de l’octroi d’un sursis partiel (art. 43 al. 1 CP). On ne saurait considérer que le pronostic quant au comportement futur du prévenu est entièrement défavorable. D’abord, il convient de prendre en considération son absence d’antécédents, sa prise de conscience et le fait que la détention a eu un impact important, compte tenu en particulier de son jeune âge. Ensuite, la peine pécuniaire ferme, non contestée, contribue à l’effet dissuasif. L’ensemble de ces éléments permet de suspendre partiellement la peine privative de liberté. La part ferme de la peine portera sur 18 mois, l’avertissement en découlant permettant de détourner l’intéressé de commettre de nouvelles infractions. Le solde sera assorti d’un sursis. Un délai d'épreuve de trois ans apparaît nécessaire pour atteindre le but d'amendement durable recherché.</w:t>
      </w:r>
    </w:p>
    <w:p>
      <w:r>
        <w:rPr>
          <w:b/>
        </w:rPr>
        <w:t>E. 7.1</w:t>
      </w:r>
    </w:p>
    <w:p>
      <w:r>
        <w:t>Le prévenu conteste son expulsion. Il fait valoir qu'il n'a pas d'antécédents, qu'il a souffert de la détention préventive et compris la leçon, qu'il vit en Suisse depuis l'âge de 15 ans, qu'il y a terminé sa scolarité, effectué un CFC et commencé sa vie professionnelle, qu'il n'a aucune poursuite, et qu'il n'a plus d'attache avec la France, à l'exception</w:t>
      </w:r>
    </w:p>
    <w:p>
      <w:r>
        <w:t>- 28 - de sa mère qui y vit encore. Il serait donc totalement intégré et « pratiquement assimilable à un résident suisse ».</w:t>
      </w:r>
    </w:p>
    <w:p>
      <w:r>
        <w:rPr>
          <w:b/>
        </w:rPr>
        <w:t>E. 7.2</w:t>
      </w:r>
    </w:p>
    <w:p>
      <w:r>
        <w:t>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ATF 144 IV 332 consid. 3.3.2). Par ailleurs, selon l'état de santé de l'intéressé et les prestations de soins disponibles dans l'État d'origine, l'expulsion du territoire suisse peut placer l'étranger dans une situation personnelle grave au sens de l'art. 66a CP ou être disproportionnée sous l'angle de l'art. 8 par. 2 CEDH (ATF 145 IV 455 consid. 9.1). Lorsque l'intéressé souffre d'une maladie ou d'une infirmité, il</w:t>
      </w:r>
    </w:p>
    <w:p>
      <w:r>
        <w:t>- 29 - sied d'examiner le niveau d'atteinte à la santé, les prestations médicales qui sont à disposition dans le pays d'origine ainsi que les conséquences négatives que cela peut engendrer pour la personne concernée (ATF 147 IV 453 consid. 1.4.5 ; ATF 145 IV 455 consid. 9.1). En matière d'expulsion pénale, l'autorité de jugement appelée à prononcer une telle mesure doit examiner si, en raison de l'état de santé du prévenu, la mesure se révèle disproportionnée (TF 6B_745/2022 du 22 février 2023 consid. 3.2.3 ; TF 6B_672/2022 du 7 décembre 2022 consid. 2.2.3).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6B_1214/2022 du 2 octobre 2023 consid. 3.1.2).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134 Il 10 consid. 4.3 ; TF 6B_550/2023 du 25 octobre 2023 consid. 3.1.3).</w:t>
      </w:r>
    </w:p>
    <w:p>
      <w:r>
        <w:rPr>
          <w:b/>
        </w:rPr>
        <w:t>E. 7.3</w:t>
      </w:r>
    </w:p>
    <w:p>
      <w:r>
        <w:t>Les premiers juges ont considéré que le prévenu, arrivé en Suisse à l'âge de 15 ans, avait toujours des contacts avec sa mère en France. Célibataire sans enfant, n'occupant qu'un emploi intérimaire, il ne serait pas dans une situation grave en cas d'expulsion. La gravité des faits commandait une mesure de 8 ans. Vu les infractions retenues, il s'agit d'un cas d'expulsion obligatoire, seul le cas de rigueur pouvant être invoqué. Or, on doit, avec</w:t>
      </w:r>
    </w:p>
    <w:p>
      <w:r>
        <w:t>- 30 - le tribunal correctionnel, retenir que l'expulsion ne mettrait pas le prévenu dans une situation grave. Il a son père en Suisse, mais sa mère en France, ses attaches familiales étant ainsi tout aussi importantes dans les deux pays. Il parle le français, langue commune à la Suisse romande et à la France. Il a vécu jusqu’à 15 ans en France et de 15 à 23 en Suisse ; on veut bien admettre que l'adolescence et le jeune âge adulte sont des périodes importantes, mais pas au point qu'une insertion professionnelle en France, avec un diplôme suisse, serait impossible, sachant qu'ici le prévenu n'a encore eu que des emplois temporaires. La France est un pays limitrophe à la culture proche de celle de la Suisse romande, qui s'en est largement inspirée. Par ailleurs, l'intérêt à l'expulsion n'est pas négligeable, les faits commis étant en effet graves, objectivement. En définitive, l’intérêt public à l’éloignement de l’intéressé l’emporte sur l’intérêt privé de celui-ci à demeurer en Suisse. Ainsi, il n’y a pas lieu de faire application de la clause de rigueur. La mesure prononcée par les premiers juges doit donc être confirmée. En revanche, vu le jeune âge du prévenu, l'absence d'antécédents et le pronostic qui ne peut pas être d'emblée considéré comme défavorable, sa durée, fixée à huit ans, s'avère disproportionnée et doit être réduite à cinq ans.</w:t>
      </w:r>
    </w:p>
    <w:p>
      <w:r>
        <w:rPr>
          <w:b/>
        </w:rPr>
        <w:t>E. 8</w:t>
      </w:r>
    </w:p>
    <w:p>
      <w:r>
        <w:t>Vu la confirmation de la condamnation de l’appelant pour lésions corporelles simples qualifiées, mise en danger de la vie d’autrui, dommages à la propriété, injure et contrainte, il n’y a pas lieu de le libérer des frais mis à sa charge en première instance.</w:t>
      </w:r>
    </w:p>
    <w:p>
      <w:r>
        <w:rPr>
          <w:b/>
        </w:rPr>
        <w:t>E. 9</w:t>
      </w:r>
    </w:p>
    <w:p>
      <w:r>
        <w:t>La détention subie par G.________ depuis le jugement de première instance sera déduite (art. 51 CP).</w:t>
      </w:r>
    </w:p>
    <w:p>
      <w:r>
        <w:t>- 31 - Pour garantir l’exécution de sa peine et de l’expulsion et compte tenu du risque de fuite qu’il présente, il convient en outre d'ordonner le maintien du prénommé en exécution anticipée de peine.</w:t>
      </w:r>
    </w:p>
    <w:p>
      <w:r>
        <w:rPr>
          <w:b/>
        </w:rPr>
        <w:t>E. 10</w:t>
      </w:r>
    </w:p>
    <w:p>
      <w:r>
        <w:t>(dix) jours-amende à 30 fr. (trente francs) le jour ; V. ordonne le maintien en détention pour des motifs de sûreté de G.________ ; VI. ordonne l’expulsion de G.________ du territoire suisse pour une durée de 5 (cinq) ans ; VII. ordonne la confiscation et la destruction de la barre de fer en forme de clé pour roue (fiche n° 37430) ; VIII. ordonne la levée du séquestre sur l’Iphone 13 noir, n° [...], IMEI 352355504552029 et 352355504600273 (fiche n° 37431) et sa restitution à G.________; IX. ordonne le maintien au dossier à titre de pièces à conviction des objets suivants : - 1 clé USB contenant des photographies en lien avec le rapport n° 1/210892-AB du 26 mai 2023 (fiche n° 36853) ; - 1 CD contenant l’extraction du téléphone de G.________ (fiche n° 37143) ; - 1 DVD contenant l’extraction du téléphone de M.________ (fiche n° 37144) ; X. prend acte pour valoir jugement de ce que G.________ s’est reconnu débiteur de 3'000 fr. (trois mille francs) envers P.________, avec intérêt à 5% l’an dès le 9 avril 2023, à titre d’indemnité pour tort moral ;</w:t>
      </w:r>
    </w:p>
    <w:p>
      <w:r>
        <w:t>- 34 - XI. renvoie P.________ à faire valoir dans une procédure séparée son droit à l’allocation de la peine pécuniaire prononcée à l’encontre du prévenu ; XII. arrête l’indemnité de conseil juridique gratuit pour la partie plaignante allouée à l’avocat Jérémy Mas à 4'671 fr. 95, TVA et débours compris ; XIII. arrête l’indemnité de défenseur d’office allouée à l’avocat Alexandre Lehmann à 12'542 fr. 65, TVA et débours compris ; XIV. met les frais de justice, par 30'593 fr. 60, à la charge de G.________, ceux-ci comprenant les indemnités de conseil juridique gratuit pour la partie plaignante et de défenseur d’office arrêtées ci-dessus ; XV. dit que les indemnités de conseil juridique gratuit pour la partie plaignante et de défenseur d’office allouées sous chiffres XII et XIII seront remboursables à l’Etat de Vaud par G.________, dès que sa situation financière le permettra." IV.La détention subie depuis le jugement de première instance est déduite. V. Le maintien en détention de G.________ à titre de sûreté est ordonné. VI.Une indemnité de défenseur d'office pour la procédure d'appel d'un montant de 4'083 fr. 70, TVA et débours inclus, est allouée à Me Alexandre Lehmann. VII. Une indemnité de conseil d'office pour la procédure d'appel d'un montant de 545 fr. 80, TVA et débours inclus, est allouée à Me Jérémy Mas. VIII.Une indemnité de conseil d'office pour la procédure d'appel d'un montant de 1'122 fr. 10, TVA et débours inclus, est allouée à Me Marina Kilchenmann.</w:t>
      </w:r>
    </w:p>
    <w:p>
      <w:r>
        <w:t>- 35 - IX.Les frais d'appel, par 8'871 fr. 60, y compris les indemnités allouées aux chiffres VI à VIII ci-dessus, sont mis par un tiers à la charge de G.________, le solde étant laissé à la charge de l’Etat. X. G.________ ne sera tenu de rembourser à l’Etat le tiers des indemnités en faveur des défenseur et conseils d’office prévues au chiffre VI à VIII ci-dessus que lorsque sa situation financière le permettra. La présidente : La greffière : Du Le jugement qui précède, dont le dispositif a été communiqué par écrit aux intéressés le 9 septembre 2024, est notifié, par l'envoi d'une copie complète, à : - Me Alexandre Lehmann, avocat (pour G.________), - Me Marina Kilchenmann, avocate (pour P.________), - Ministère public central, et communiqué à : - M. le Président du Tribunal correctionnel de l'arrondissement de Lausanne, - Mme la Procureure de l'arrondissement de Lausanne, - Office d'exécution des peines, - Service de la population, - Service pénitentiaire (Bureau des séquestres), par l'envoi de photocopies.</w:t>
      </w:r>
    </w:p>
    <w:p>
      <w:r>
        <w:t>- 36 -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