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PE23.006680 vom 19. Januar 2024</w:t>
      </w:r>
    </w:p>
    <w:p>
      <w:r>
        <w:t>VD Tribunal cantonal, 2024-01-19, FR</w:t>
      </w:r>
    </w:p>
    <w:p>
      <w:r>
        <w:rPr>
          <w:b/>
        </w:rPr>
        <w:t xml:space="preserve">Quelle: </w:t>
      </w:r>
      <w:r>
        <w:t>https://mcp.opencaselaw.ch/entscheid/vd_gerichte_PE23.006680</w:t>
      </w:r>
    </w:p>
    <w:p>
      <w:r>
        <w:t>FR: VD_GERICHTE PE23.006680 du 19 janvier 2024</w:t>
      </w:r>
    </w:p>
    <w:p>
      <w:r>
        <w:t>IT: VD_GERICHTE PE23.006680 del 19 gennaio 2024</w:t>
      </w:r>
    </w:p>
    <w:p>
      <w:pPr>
        <w:pStyle w:val="Heading2"/>
      </w:pPr>
      <w:r>
        <w:t>Erwägungen</w:t>
      </w:r>
    </w:p>
    <w:p>
      <w:r>
        <w:rPr>
          <w:b/>
        </w:rPr>
        <w:t>E. 1</w:t>
      </w:r>
    </w:p>
    <w:p>
      <w:r>
        <w:t>- 4 -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rPr>
          <w:b/>
        </w:rPr>
        <w:t>E. 2.1</w:t>
      </w:r>
    </w:p>
    <w:p>
      <w:r>
        <w:t>Le recourant invoque une violation du droit d’être entendu dans le sens où il n’aurait pas été informé des mesures d’investigations effectuées et n’a pu consulter le dossier qu’une fois l’ordonnance entreprise rendue. Il se plaint de n’avoir pas été informé de l’audition de N.________ par la police et de n’avoir ainsi pas pu y participer et poser ses questions. Il se plaint également de n’avoir pas reçu copie du rapport de police établi le 21 mars 2023 et de n’avoir ainsi pas eu l’opportunité de se déterminer sur son contenu et ses conclusions. Selon lui, avant de rendre son ordonnance de non-entrée en matière, le Ministère public aurait dû lui adresser un avis de prochaine clôture, l’informant qu’il était envisagé de rendre une ordonnance de non- entrée en matière et lui impartissant un délai pour se prononcer et pour requérir d’éventuelles mesures d’instruction. Il estime qu’il aurait dans tous les cas dû être entendu.</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w:t>
      </w:r>
    </w:p>
    <w:p>
      <w:r>
        <w:t>- 5 - participer à l'administration des preuves essentielles et de se déterminer sur son résultat lorsque cela est de nature à influer sur la décision à rendre (ATF 145 I 73 consid. 7.2.2.1 ; TF 6B_1244/2023 du 20 décembre 2023 consid. 2.2).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 entrée en matière (cf. art. 310 al. 2, 322 al. 2 et 393 ss CPP). Cette procédure permet aux parties de faire valoir tous leurs griefs – formels et matériels – auprès d’une autorité disposant d’une pleine cognition en fait et en droit (cf. art. 391 al. 1 et 393 al. 2 CPP ; TF 6B_382/2022 précité consid. 2.1.2 ; TF 6B_191/2021 précité consid. 7.2.2).</w:t>
      </w:r>
    </w:p>
    <w:p>
      <w:r>
        <w:rPr>
          <w:b/>
        </w:rPr>
        <w:t>E. 2.3</w:t>
      </w:r>
    </w:p>
    <w:p>
      <w:r>
        <w:t>En l’espèce, aucune instruction pénale n’ayant été ouverte, le droit d’être entendu du recourant était limité et il n’y avait pas d’obligation pour les autorités de lui permettre de participer à la mise en œuvre des mesures d’investigation. En outre, la partie plaignante ne bénéficie pas d’un droit à être auditionné avant qu’une ordonnance de non-entrée en matière soit rendue et le Ministère public n’a pas à adresser un avis de prochaine clôture avant de rendre une telle ordonnance. Le recourant pouvant faire valoir tous ses griefs dans le cadre de la procédure de recours devant la Chambre de céans, son droit d’être entendu n’a pas été violé. Le grief doit être rejeté.</w:t>
      </w:r>
    </w:p>
    <w:p>
      <w:r>
        <w:t>- 6 -</w:t>
      </w:r>
    </w:p>
    <w:p>
      <w:r>
        <w:rPr>
          <w:b/>
        </w:rPr>
        <w:t>E. 3.1</w:t>
      </w:r>
    </w:p>
    <w:p>
      <w:r>
        <w:t>Le recourant critique l’absence de réalisation des conditions des infractions de menaces et diffamation retenue par le Ministère public, invoquant implicitement le principe « in dubio pro duriore ». À l’appui de sa motivation, il indique qu’il a dû intervenir auprès de l’unité de prévention de la criminalité de la police cantonale pour que la gendarmerie de [...] se décide à prendre des mesures. Selon lui, le Ministère public aurait dû à tout le moins interroger la gendarmerie de [...] pour clarifier la raison pour laquelle il lui a été conseillé de ne pas se rendre au carnaval. Le recourant estime que les affiches et flyers auraient pu inciter des participants du carnaval à s’en prendre verbalement ou physiquement à sa famille ou lui-même. Ces affiches auraient eu en outre pour but de le faire passer comme une personne méprisable, uniquement motivée par l’appât du gain en raison de ses dénonciations pour stationnement illicite.</w:t>
      </w:r>
    </w:p>
    <w:p>
      <w:r>
        <w:rPr>
          <w:b/>
        </w:rPr>
        <w:t>E. 3.2.1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du 24 octobre 2023 consid. 2.1.1). La procédure doit se poursuivre lorsqu'une condamnation apparaît plus</w:t>
      </w:r>
    </w:p>
    <w:p>
      <w:r>
        <w:t>- 7 -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TF 7B_10/2022 du 25 septembre 2023 consid. 4.2.1).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3.2.2</w:t>
      </w:r>
    </w:p>
    <w:p>
      <w:r>
        <w:t>Selon l’art. 180 al. 1 aCP, en vigueur au moment des faits, se rend coupable de menaces celui qui, par une menace grave, aura alarmé ou effrayé une personne et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ni que l’auteur ait réellement la volonté de réaliser sa menace (ATF 122 IV 322 consid. 1a ; ATF 105 IV 120 consid. 2a, JdT 1980 IV 115 ; TF 6B_754/2023 du 11 octobre 2023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1a). Les</w:t>
      </w:r>
    </w:p>
    <w:p>
      <w:r>
        <w:t>- 8 - menaces de lésions corporelles graves ou de mort doivent être considérées comme des menaces graves au sens de l’art. 180 CP (TF 6B_787/2018 du 1er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6B_754/2023 précité consid. 3.1).</w:t>
      </w:r>
    </w:p>
    <w:p>
      <w:r>
        <w:rPr>
          <w:b/>
        </w:rPr>
        <w:t>E. 3.2.3</w:t>
      </w:r>
    </w:p>
    <w:p>
      <w:r>
        <w:t>En application de l’art. 173 ch. 1 aCP, en vigueur au moment des faits,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et sera, sur plainte, puni d’une peine pécuniaire. L'inculpé n'encourra aucune peine s'il prouve que les allégations qu'il a articulées ou propagées sont conformes à la vérité ou qu'il avait des raisons sérieuses de les tenir de bonne foi pour vraies (art. 173 ch. 2 CP).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w:t>
      </w:r>
    </w:p>
    <w:p>
      <w:r>
        <w:t>- 9 -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 TF 6B_767/2023 du 29 novembre 2023 consid. 4.1.1).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 TF 6B_767/2023 précité consid. 4.1.1). En matière de publications satiriques, peuvent être admises non seulement la vivacité de ton qui convient à ce genre, y compris l’absence de tact et de goût, mais également les allégations de faits qui blessent l’honneur lorsqu’on peut admettre que le public ne les a pas prises à la lettre (CREP 19 septembre 2018/724 consid. 3.2). Il faut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Il s'agit dans ce cadre de distinguer le message dissimulé, mais néanmoins reconnaissable (« verdeckter, aber erkennbarer Aussagekern »), de son enrobage satirique (« Satiremantel »).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Il se justifie également</w:t>
      </w:r>
    </w:p>
    <w:p>
      <w:r>
        <w:t>- 10 - de tenir compte de l'impression générale laissée par les propos litigieux ainsi que du contexte dans lequel ils s'inscrivent (TF 6B_938/2017 du 2 juillet 2018 consid. 5.2 et les références citées). En vertu de la définition la plus répandue, la satire réunit trois critères cumulatifs : un caractère abrasif, social et politique. L’agression n’est pas dirigée contre une personne en particulier mais contre le représentant d’un certain comportement, d’un ordre ou d’une institution. La satire poursuit un but social en confrontant la réalité à une certaine normalité par une représentation esthétique ou stylistique (TF 6B_230/2018 du 24 octobre 2018 consid. 1.4.2). Enfin, selon la jurisprudence de la Cour européenne des droits de l’homme, la protection conférée par l'art. 10 CEDH (Convention de sauvegarde des droits de l'homme et des libertés fondamentales du 4 novembre 1950 ; RS 0.101) s'applique également à la satire, qui est une forme d'expression artistique et de commentaire social qui, du fait de l'exagération et la déformation de la réalité qui la caractérisent, vise naturellement à provoquer et à agiter. C'est pourquoi il faut examiner avec une attention particulière toute ingérence dans le droit d'un artiste à s'exprimer par ce biais (CourEDH Vereinigung Bildender Künstler c. Autriche du 25 janvier 2007 [requête n° 68354/01], § 33). En ce sens, la Cour européenne des droits de l’homme a considéré que le discours humoristique ou les formes d'expression qui cultivaient l'humour étaient protégés par l'art. 10 CEDH, y compris s'ils se traduisaient par la transgression ou la provocation et ce, peu importe qui en était l'auteur. Si ces formes d'expression ne peuvent être appréciées ou censurées à l'aune des seules réactions négatives ou indignées qu'elles sont susceptibles de générer, elles n'échappent pas pour autant aux limites définies à l'art. 10 par. 2 CEDH. En effet, le droit à l'humour ne permet pas tout et quiconque se prévaut de la liberté d'expression assume, selon les termes de ce paragraphe, « des devoirs et des responsabilités » (CourEDH Z.B. c. France n° 46883/15 du 2 septembre 2021, §§ 56 et 57 ; ATF 149 IV 170 consid. 1.2.1).</w:t>
      </w:r>
    </w:p>
    <w:p>
      <w:r>
        <w:t>- 11 -</w:t>
      </w:r>
    </w:p>
    <w:p>
      <w:r>
        <w:rPr>
          <w:b/>
        </w:rPr>
        <w:t>E. 3.3</w:t>
      </w:r>
    </w:p>
    <w:p>
      <w:r>
        <w:t>En l’espèce, s’agissant de l’infraction de menaces en relation avec l’affiche « WANTED », il faut l’analyser dans le contexte satirique propre aux us et coutumes du carnaval. Pour qu’une menace soit considérée comme grave, il faut qu’elle soit objectivement de nature à alarmer ou à effrayer la victime. Certes la menace de mort doit toujours être considérée comme grave ; toutefois l’affichette, en reprenant les termes « DEAD OR ALIVE » (mort ou vif), a reproduit une dialectique bien connue et notoire, empruntée à l’imagerie stéréotypique des avis de recherche tels que représentés dans le genre western. On ne peut dès lors parler de menaces de mort. Reste à se demander si cette affiche était objectivement de nature à effrayer la victime. La réponse doit être négative. En effet, le commentaire sur le bas de l’affiche « Après notre enquête approfondie du mardi 08 février 2023 et les précieuses pistes rapportées par plusieurs témoins, nous présumons que L.D.G serait le responsable du kidnapping de notre panneau » enlève tout doute quant au caractère satirique du propos, puisqu’il est fait référence au « kidnapping » d’un panneau (soit le faux panneau d’entrée de parking fabriqué par les organisateurs du carnaval). Indépendamment de ce que la police aurait ou n’aurait pas dit au recourant, l’affiche ne réalise pas la condition objective de menace grave. Il ne s’agit à l’évidence pas même d’une menace. Pour ce qui est de l’infraction de diffamation, les différentes affiches font apparaître le recourant comme âpre au gain et attaché à ses amendes de parking. Dans le contexte satirique du carnaval, il s’agit de se demander qui était le cercle des destinataires et quelle impression générale ces affiches pouvaient leur laisser. Rappelons qu’il s’agit du carnaval de [...], bien connu de ses habitants et où il est d’usage de brocarder l’un ou l’autre. Dans ce cercle, les différentes manières dont a été présenté le recourant ne sont rien d’autre que des moqueries, qui ne peuvent en aucun cas faire penser que le recourant abuse d’un droit ou exerce une activité illicite. Il est en effet dans la nature de la satire d’être mordante.</w:t>
      </w:r>
    </w:p>
    <w:p>
      <w:r>
        <w:t>- 12 - En conséquence, les éléments constitutifs d’une infraction ne sont manifestement pas réalisées et c’est à bon droit que le Ministère public a refusé d’entrer en matière sur la plainte du recourant.</w:t>
      </w:r>
    </w:p>
    <w:p>
      <w:r>
        <w:rPr>
          <w:b/>
        </w:rPr>
        <w:t>E. 4</w:t>
      </w:r>
    </w:p>
    <w:p>
      <w:r>
        <w:t>Au vu de ce qui précède, le recours, manifestement mal fondé, doit être rejeté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décembre 2023 est confirmée. III. Les frais de procédure, par 1’210 fr. (mille deux cent dix francs), sont mis à la charge de P.________. IV. L’arrêt est exécutoire. Le président : Le greffier : Du Le présent arrêt, dont la rédaction a été approuvée à huis clos, est notifié, par l'envoi d'une copie complète, à : - Me John David Burdet, avocat (pour P.________),</w:t>
      </w:r>
    </w:p>
    <w:p>
      <w:r>
        <w:t>- 13 -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