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PE23.005579 vom 27. Juni 2023</w:t>
      </w:r>
    </w:p>
    <w:p>
      <w:r>
        <w:t>VD Tribunal cantonal, 2023-06-27, FR</w:t>
      </w:r>
    </w:p>
    <w:p>
      <w:r>
        <w:rPr>
          <w:b/>
        </w:rPr>
        <w:t xml:space="preserve">Quelle: </w:t>
      </w:r>
      <w:r>
        <w:t>https://mcp.opencaselaw.ch/entscheid/vd_gerichte_PE23.005579</w:t>
      </w:r>
    </w:p>
    <w:p>
      <w:r>
        <w:t>FR: VD_GERICHTE PE23.005579 du 27 juin 2023</w:t>
      </w:r>
    </w:p>
    <w:p>
      <w:r>
        <w:t>IT: VD_GERICHTE PE23.005579 del 27 giugno 2023</w:t>
      </w:r>
    </w:p>
    <w:p>
      <w:pPr>
        <w:pStyle w:val="Heading2"/>
      </w:pPr>
      <w:r>
        <w:t>Erwägungen</w:t>
      </w:r>
    </w:p>
    <w:p>
      <w:r>
        <w:rPr>
          <w:b/>
        </w:rPr>
        <w:t>E. 1</w:t>
      </w:r>
    </w:p>
    <w:p>
      <w:r>
        <w:t>CPP) et dans les formes prescrites (art. 385 al. 1 CPP), le recours est recevable.</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la partie plaignante qui a qualité pour recourir (art. 382 al.</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w:t>
      </w:r>
    </w:p>
    <w:p>
      <w:r>
        <w:t>- 4 - 101]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reproche au Ministère public d’avoir considéré que les éléments constitutifs des infractions de diffamation et de menaces n’étaient d’emblée pas réalisés. Il soutient que les articles litigieux le feraient explicitement et objectivement apparaître comme un informateur d’une autorité étrangère, ce qui constituerait un crime sévèrement réprimé au Maroc. Il conteste par ailleurs être un « homme politique » et soutient être tout au plus un « défenseur des droits humains », un « militant », voire un « activiste ».</w:t>
      </w:r>
    </w:p>
    <w:p>
      <w:r>
        <w:rPr>
          <w:b/>
        </w:rPr>
        <w:t>E. 3.2.1</w:t>
      </w:r>
    </w:p>
    <w:p>
      <w:r>
        <w:t>Aux termes de l'art. 173 CP (Code pénal suisse du 21 décembre 1937 ; RS 311.0), se rend coupable de diffamation celui qui, en s'adressant à un tiers, aura accusé une personne ou jeté sur elle le soupçon de tenir une conduite contraire à l'honneur, ou de tout autre fait</w:t>
      </w:r>
    </w:p>
    <w:p>
      <w:r>
        <w:t>- 5 - propre à porter atteinte à sa considération,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précité consid. 2.1.3 ; TF 6B_777/2022 du 16 mars 2023 consid. 3.1). Selon la jurisprudence, un texte doit être analysé non seulement en fonction des expressions utilisées, prises séparément, mais aussi selon le sens général qui se dégage du texte dans son ensemble (ATF 137 IV 313 précité).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w:t>
      </w:r>
    </w:p>
    <w:p>
      <w:r>
        <w:t>- 6 - si, sur le fond ou dans la forme, elle ne se limite pas à rabaisser les qualités de l'homme politique et la valeur de son action, mais est également propre à l'exposer au mépris en tant qu'être humain (ATF 137 IV 313 précité consid. 2.1.4 ; TF 6B_119/2017 du 12 décembre 2017 consid. 3.1).</w:t>
      </w:r>
    </w:p>
    <w:p>
      <w:r>
        <w:rPr>
          <w:b/>
        </w:rPr>
        <w:t>E. 3.2.2</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6B_746/2022 du 30 mars 2023 consid. 3.1), ni que l'auteur ait réellement la volonté de réaliser sa menace (ATF 122 IV 322 consid. 1a ; TF 6B_746/2022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précité ; TF 6B_746/2022 précité ; TF 6B_1054/2021 du 11 mars 2022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ATF 119 IV 1 consid. 5a ; TF 6B_746/2022 précité et les arrêts cités).</w:t>
      </w:r>
    </w:p>
    <w:p>
      <w:r>
        <w:rPr>
          <w:b/>
        </w:rPr>
        <w:t>E. 3.3</w:t>
      </w:r>
    </w:p>
    <w:p>
      <w:r>
        <w:t>Le premier article contient notamment les propos suivants : « Pour conclure, les [...] ont fait appel aux mouches du DRS algérien, venus nous proposer leur solution pour un meilleur Maroc…alors on a celui qui veut carrément qu’on attaque le palais royal à la date anniversaire du 20</w:t>
      </w:r>
    </w:p>
    <w:p>
      <w:r>
        <w:t>- 7 - février…il doit faire parti de la faction radicale de la junte lui…le genre préféré du mouvement « [...] » d’O.________… ». Il ressort du second article le passage suivant : « Et devinez quel est le mouvement de 9awawid qui collaborait à cette époque avec ce monsieur, en essayant par tous les moyens d’attirer son attention et en le suppliant de retweeter ([...] « PLEAAASE RT »)…Eh bah ce ne sont que nos amis du mouvement « [...] », créé par le bergag numéro 1 de twitter, O.________ alias « [...] » et ses proches collaboratrices, [...], qui a récemment rejoint le parti des « [...] » favorable au polisario, ainsi que sa copine fonctionnaire, [...], qui a l’habitude de cracher dans la soupe, en traitant de « salope », la main qui l’a nourrit… Je me disais bien en relisant l’article de notre pauvre gamine US, que le bergag [...] n’était pas très loin…eh bah effectivement il était même très proche sachant que sur les quelques 600 personnes à laquelle s’est abonné [...], le premier d’entre eux n’est autre que : O.________…suivi de la brochette bien connue des [...], [...] et [...], la serpillère de [...]… ». Le troisième article mentionne ce qui suit : « En effet, les services de renseignement français, qui n’ont pas encore digéré le divorce consommé et acté avec le Maroc, sont en train de très mal vivre l’incroyable publicité positive dont bénéficie notre pays, en marge de cette belle Coupe du Monde, organisée pour la première fois dans un pays musulman…alors pour se sentir mieux, ils ressortent de leur vieux placard à traitre, certaines vieilles connaissances, connues pour leur haine contre le régime monarchique et tout ce qui s’apparente… Hier, sur France 5, ils ont donc sélectionné, [...], un sosie d’Amine Harit mais en plus moche, connue pour être très proche du mouvement mort-né « [...] » et de son co-fondateur, mort-né, le fameux Chekam de ces messieurs, O.________… (…) Voila donc les invités du jour, sélectionnés par la DGSE, afin de discuter sur une chaine publique française du match France-Maroc et en quoi cette confrontation est une « demi-finale chargée d’histoire ». ». Conformément à la jurisprudence susmentionnée, il convient de procéder à une interprétation objective du contenu des articles litigieux afin d’apprécier s’ils sont attentatoires à l’honneur du recourant. A l’instar du Ministère public, il y a lieu de retenir qu’objectivement, du point de vue d’un lecteur non prévenu, le fait d’être taxé d’informateur des services de renseignement français ne réalise pas les conditions de la diffamation en droit suisse, ce d’autant moins lorsque ces propos sont tenus à l’endroit d’un « militant » dans le cadre d’un débat public, compte tenu de la jurisprudence très restrictive en la matière. Ainsi, quand bien même la tonalité générale des publications dénoncées est critique à l’égard du recourant et de son mouvement, cette critique, même violente, relève</w:t>
      </w:r>
    </w:p>
    <w:p>
      <w:r>
        <w:t>- 8 - encore des libertés d’opinion et d’expression constitutionnellement garanties, notamment en matière de presse (art. 16 al. 2 et 17 al. 1 Cst.). Pour le surplus, comme l’a retenu à juste titre le Ministère public, aucun propos constitutif de menaces graves au sens de l’art. 180 CP ne ressort des articles litigieux, ce que le recourant ne soutient au demeurant plus dans son acte de recours. Au vu de ce qui précède, c'est à juste titre que le Ministère public a considéré que les éléments constitutifs des infractions de diffamation et de menaces n’étaient pas réunis et, partant, qu’il a refusé d'entrer en matière sur la plainte du recourant.</w:t>
      </w:r>
    </w:p>
    <w:p>
      <w:r>
        <w:rPr>
          <w:b/>
        </w:rPr>
        <w:t>E. 4</w:t>
      </w:r>
    </w:p>
    <w:p>
      <w:r>
        <w:t>En définitive, le recours, manifestement mal fondé, doit être rejeté sans échange d’écritures (art. 390 al. 2 CPP) et l’ordonnance attaquée confirmée. Vu le sort du recours, les frais de la procédure, constitués du seul émolument d'arrêt (art. 422 al. 1 CPP), par 880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II. L’ordonnance de non-entrée en matière du 20 avril 2023 est confirmée.</w:t>
      </w:r>
    </w:p>
    <w:p>
      <w:r>
        <w:t>- 9 - III. Les frais d’arrêt, par 880 fr. (huit cent huitante francs), sont mis à la charge d’O.________. IV. Le montant de 550 fr. (cinq cent cinquante francs) déjà versé par O.________ à titre de sûretés est imputé sur les frais mis à sa charge au chiffre III ci-dessus. V. L’arrêt est exécutoire. La présidente : La greffière : Du Le présent arrêt, dont la rédaction a été approuvée à huis clos, est notifié, par l'envoi d'une copie complète, à :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