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PE23.005497 vom 28. März 2024</w:t>
      </w:r>
    </w:p>
    <w:p>
      <w:r>
        <w:t>VD Tribunal cantonal, 2024-03-28, FR</w:t>
      </w:r>
    </w:p>
    <w:p>
      <w:r>
        <w:rPr>
          <w:b/>
        </w:rPr>
        <w:t xml:space="preserve">Quelle: </w:t>
      </w:r>
      <w:r>
        <w:t>https://mcp.opencaselaw.ch/entscheid/vd_gerichte_PE23.005497</w:t>
      </w:r>
    </w:p>
    <w:p>
      <w:r>
        <w:t>FR: VD_GERICHTE PE23.005497 du 28 mars 2024</w:t>
      </w:r>
    </w:p>
    <w:p>
      <w:r>
        <w:t>IT: VD_GERICHTE PE23.005497 del 28 marzo 2024</w:t>
      </w:r>
    </w:p>
    <w:p>
      <w:pPr>
        <w:pStyle w:val="Heading2"/>
      </w:pPr>
      <w:r>
        <w:t>Erwägungen</w:t>
      </w:r>
    </w:p>
    <w:p>
      <w:r>
        <w:rPr>
          <w:b/>
        </w:rPr>
        <w:t>E. 1</w:t>
      </w:r>
    </w:p>
    <w:p>
      <w:r>
        <w:t>N.________ est né le 12 août 1980 à Le Crosot, en France, pays dont il est ressortissant. Il a été élevé par ses parents et a une sœur aînée. Il a suivi sa scolarité à Gueugnon, passé un bac économique et scientifique, fait deux ans de classe préparatoire HEC à Dijon et intégré une grande école de commerce à Montpellier, dont il est diplômé. Il a travaillé pour différentes entreprises en France, notamment pour le [...] SA. Il est venu en Suisse en 2007-2008 pour être aux côtés de son épouse, qui travaillait à l’époque en Suisse. Il a divorcé en 2016 et s’est remarié en 2020. Avec sa première épouse, il a eu un enfant, qui vit en France avec lui et sa nouvelle épouse, avec qui il a eu deux autres enfants. Il cumule deux activités professionnelles. Il est agent immobilier en France et est également propriétaire d’un hôtel-restaurant et d’un gîte qu’il gère. Ses revenus mensuels varient entre 5'000 et 10'000 euros. Le prévenu est propriétaire de six biens immobiliers situés en France. Il n’a pas d’autre fortune. Il rembourse le prêt hypothécaire de son logement à hauteur de 1'800 euros par mois. Il n’a pas d’autres dettes et ne fait pas l’objet de poursuites. Son casier judiciaire suisse mentionne les condamnations suivantes : - 08.05.2018, Tribunal de police de l’arrondissement de l’Est vaudois, gestion déloyale des avoirs de gestion des intérêts pécuniaires dans un dessein d’enrichissement, peine pécuniaire de 270 jours-amende à 150 fr., sursis à l’exécution de la peine, délai d’épreuve de 2 ans ; - 25.03.2019, Tribunal de police de l’arrondissement de l’Est vaudois, gestion déloyale par violation des devoirs de gestion des intérêts pécuniaires, peine privative de liberté de 5 mois, sursis à l’exécution de la peine, délai d’épreuve de 2 ans.</w:t>
      </w:r>
    </w:p>
    <w:p>
      <w:r>
        <w:rPr>
          <w:b/>
        </w:rPr>
        <w:t>E. 1.1</w:t>
      </w:r>
    </w:p>
    <w:p>
      <w:r>
        <w:t>Interjeté dans les formes et délais légaux (art. 399 CPP [Code de procédure pénale suisse du 5 octobre 2007 ; RS 312.0]), par une partie qui a qualité pour recourir (art. 382 al. 1 CPP), contre le jugement d’un tribunal de première instance ayant clos la procédure (art. 398 al. 1 CPP), l’appel de N.________ est recevable.</w:t>
      </w:r>
    </w:p>
    <w:p>
      <w:r>
        <w:rPr>
          <w:b/>
        </w:rPr>
        <w:t>E. 1.2</w:t>
      </w:r>
    </w:p>
    <w:p>
      <w:r>
        <w:t>Dès lors que la présence du prévenu aux débats d’appel n’est pas indispensable et que l’appel est dirigé contre un jugement rendu par</w:t>
      </w:r>
    </w:p>
    <w:p>
      <w:r>
        <w:t>- 5 - un juge unique, l’appel est traité en procédure écrite conformément à l'art. 406 al. 2 CPP, avec l’accord des parties.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(art. 398 CPP ; TF 6B_1263/2018 du 28 janvier 2019 consid. 2.1.1 ; TF 6B_868/2018 du 26 octobre 2018 consid. 1).</w:t>
      </w:r>
    </w:p>
    <w:p>
      <w:r>
        <w:rPr>
          <w:b/>
        </w:rPr>
        <w:t>E. 3.1</w:t>
      </w:r>
    </w:p>
    <w:p>
      <w:r>
        <w:t>L’appelant nie la compétence des autorités suisses, dès lors qu’il est lui-même domicilié en France et que la voiture de la plaignante a été retrouvée en France.</w:t>
      </w:r>
    </w:p>
    <w:p>
      <w:r>
        <w:rPr>
          <w:b/>
        </w:rPr>
        <w:t>E. 3.2</w:t>
      </w:r>
    </w:p>
    <w:p>
      <w:r>
        <w:t>La compétence juridictionnelle suisse est donnée par les art. 3 ss CP. Aux termes de l’art. 3 al. 1 CP, le Code pénal est applicable à quiconque commet un crime ou un délit en Suisse. Selon l’art. 8 al. 1 CP, un crime ou un délit est réputé commis tant au lieu où l’auteur a agi ou aurait dû agir qu’au lieu où le résultat s’est produit. Cette disposition définit le lieu de commission sous l’angle de l’ubiquité relative, aux termes de laquelle l’infraction est réputée commise aussi bien au lieu où l’auteur a agi qu’au lieu où le résultat s’est produit. Il</w:t>
      </w:r>
    </w:p>
    <w:p>
      <w:r>
        <w:t>- 6 - faut entendre par « résultat » une modification du monde extérieur, imputable à l’auteur et faisant partie des éléments constitutifs de l’infraction. Il ne peut y avoir de résultat au sens technique que pour une seule catégorie d’actes punissables, à savoir les délits matériels. L’escroquerie est un délit matériel à double résultat, soit d’une part l’appauvrissement de la victime, d’autre par l’enrichissement, dont seul le dessein est un élément constitutif de l’infraction (ATF 109 IV 1 consid. 3b et c). L’appauvrissement causé par un abus de confiance ou une escroquerie constitue un résultat au sens de l’art. 8 al. 1 CP. Ce résultat se produit en Suisse si la victime de cet appauvrissement est une société anonyme ayant son siège en Suisse ; cela vaut même si l’essentiel de l’activité délictueuse s’est exercé à l’étranger (ATF 124 IV 241).</w:t>
      </w:r>
    </w:p>
    <w:p>
      <w:r>
        <w:rPr>
          <w:b/>
        </w:rPr>
        <w:t>E. 3.3</w:t>
      </w:r>
    </w:p>
    <w:p>
      <w:r>
        <w:t>Dans le cas particulier, l’appauvrissement causé par l’abus de confiance s’est produit en Suisse, la lésée y ayant son siège. Les autorités suisses sont par conséquent compétentes. Quant aux autorités vaudoises, elles sont compétentes en application de l’art. 31 al. 2 CPP, qui prévoit que si l’infraction a été commise ou si son résultat s’est produit en différents lieux, l’autorité compétente est celle du lieu où les premiers actes de poursuite ont été entrepris.</w:t>
      </w:r>
    </w:p>
    <w:p>
      <w:r>
        <w:rPr>
          <w:b/>
        </w:rPr>
        <w:t>E. 4</w:t>
      </w:r>
    </w:p>
    <w:p>
      <w:r>
        <w:t>En définitive, l’appel doit être rejeté et le jugement attaqué confirmé. Vu l’issue de la cause, les frais de la procédure d'appel, constitués de l'émolument du présent jugement, par 660 fr. (art. 21 al. 1 TFIP [tarif des frais de procédure et indemnités en matière pénale du 28 septembre 2010 ; BLV 312.03.1]), seront mis à la charge de N.________, qui succombe (art. 428 al. 1 CPP).</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