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PE23.005288 vom 26. Januar 2024</w:t>
      </w:r>
    </w:p>
    <w:p>
      <w:r>
        <w:t>VD Tribunal cantonal, 2024-01-26, FR</w:t>
      </w:r>
    </w:p>
    <w:p>
      <w:r>
        <w:rPr>
          <w:b/>
        </w:rPr>
        <w:t xml:space="preserve">Quelle: </w:t>
      </w:r>
      <w:r>
        <w:t>https://mcp.opencaselaw.ch/entscheid/vd_gerichte_PE23.005288</w:t>
      </w:r>
    </w:p>
    <w:p>
      <w:r>
        <w:t>FR: VD_GERICHTE PE23.005288 du 26 janvier 2024</w:t>
      </w:r>
    </w:p>
    <w:p>
      <w:r>
        <w:t>IT: VD_GERICHTE PE23.005288 del 26 gennaio 2024</w:t>
      </w:r>
    </w:p>
    <w:p>
      <w:pPr>
        <w:pStyle w:val="Heading2"/>
      </w:pPr>
      <w:r>
        <w:t>Erwägungen</w:t>
      </w:r>
    </w:p>
    <w:p>
      <w:r>
        <w:rPr>
          <w:b/>
        </w:rPr>
        <w:t>E. 3</w:t>
      </w:r>
    </w:p>
    <w:p>
      <w:r>
        <w:t>Le recourant reproche enfin au Ministère public d’avoir considéré qu’il avait droit à un défenseur d’office en tant que prévenu de brigandage mais plus ensuite, alors qu’il demeurait prévenu de vol et/ou de recel. Il soutient que des mesures de contrainte conséquentes ont été mises en œuvre, qu’il en demande réparation et qu’un changement de</w:t>
      </w:r>
    </w:p>
    <w:p>
      <w:r>
        <w:t>- 20 - prévention importe peu dès lors qu’il reste susceptible d’être expulsé du territoire suisse. La procédure présenterait en outre des difficultés juridiques qu’il ne pourrait pas surmonter seul.</w:t>
      </w:r>
    </w:p>
    <w:p>
      <w:r>
        <w:rPr>
          <w:b/>
        </w:rPr>
        <w:t>E. 3.1.1</w:t>
      </w:r>
    </w:p>
    <w:p>
      <w:r>
        <w:t>Une ordonnance du Ministère public refusant la désignation d’un défenseur d’office est également susceptible de recours selon l’art. 393 al. 1 let. a CPP (CREP 13 septembre 2023/730), aux conditions mentionnées au considérant 1.1 supra. Le recours est recevable sur ce point.</w:t>
      </w:r>
    </w:p>
    <w:p>
      <w:r>
        <w:rPr>
          <w:b/>
        </w:rPr>
        <w:t>E. 3.1.2</w:t>
      </w:r>
    </w:p>
    <w:p>
      <w:r>
        <w:t>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t>- 21 -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1B_510/2022 du 16 décembre 2022 consid. 3.1 ; TF 1B_172/2022 du 18 juillet 2022 consid. 2.1). Les critères énoncés par l'art. 132 al. 1, let. b, 2 et 3 CPP reprennent largement la jurisprudence du Tribunal fédéral en matière d'assistance judiciaire, rendue sur la base des art. 29 al. 3 Cst. et 6 ch. 3 let. c CEDH (ATF 143 I 164 consid. 3.5 ; TF 1B_510/2022 précité consid. 3.1).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w:t>
      </w:r>
    </w:p>
    <w:p>
      <w:r>
        <w:t>- 22 - auteur ne s'expose qu'à une amende ou à une peine privative de liberté de courte durée, la jurisprudence considère que l'auteur n'a pas de droit constitutionnel à l'assistance judiciaire (ATF 143 I 164 consid. 3.5 ; TF 1B_510/2022 précité consid. 3.1).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1B_510/2022 précité consid. 3.2 ; TF 1B_483/2022 du 28 septembre 2022 consid. 3 ; TF 1B_172/2022 du 18 juillet 2022 consid. 2.1). S'agissant de la difficulté objective de la cause, à l'instar de ce qu'elle a développé en rapport avec les chances de succès d'un recours (ATF 139 III 396 consid. 1.2 ; ATF 129 I 129 consid. 2.3.1 ; TF 1B_510/2022 précité consid. 3.2), la jurisprudence impose de se demander si une personne raisonnable et de bonne foi, qui présenterait les mêmes caractéristiques que le requérant mais disposerait de ressources suffisantes, ferait ou non appel à un avocat (ATF 140 V 521 consid. 9.1 ; TF 1B_510/2022 précité consid. 3.2). La difficulté objective d'une cause est admise sur le plan juridique lorsque la subsomption des faits donne lieu à des doutes, que ce soit de manière générale ou dans le cas particulier (TF 1B_510/2022 précité consid. 3.2 ; TF 1B_483/2022 du 28 septembre 2022 consid. 3 ; TF 1B_172/2022 du 18 juillet 2022 consid. 2.1).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1B_510/2022 précité consid. 3.2 ; TF 1B_483/2022 du 28 septembre 2022 consid. 3 ; CREP 12 mai 2023/377).</w:t>
      </w:r>
    </w:p>
    <w:p>
      <w:r>
        <w:t>- 23 -</w:t>
      </w:r>
    </w:p>
    <w:p>
      <w:r>
        <w:rPr>
          <w:b/>
        </w:rPr>
        <w:t>E. 3.2</w:t>
      </w:r>
    </w:p>
    <w:p>
      <w:r>
        <w:t>En l’espèce, le 16 mars 2023, le Ministère public a donné instruction à la police d’entendre Z.________ en présence d’un avocat, ce qu’elle a fait le lendemain. Dans ce contexte, l’avocate Charlotte Palazzo est intervenue en tant qu’avocate de la première heure – dès lors qu’il s’agissait d’un cas de défense obligatoire – et non en qualité de défenseur d’office. L’intéressé a alors pu être relaxé peu de temps après son audition, la police ayant pu vérifier son alibi. Il en résulte que, dès ce moment, Z.________ ne se trouvait plus dans un cas de défense obligatoire, si bien que le Ministère public était parfaitement fondé à ne pas prolonger le mandat de la première heure en le transformant en mandat d’office, les charges pesant initialement contre le recourant ayant pu être écartées. C’est du reste ce que le Ministère public a dit à l’avocate de la première heure après la relaxation de son client. Le recourant semble soutenir qu’une défense d’office était justifiée pour contester et demander réparation des mesures de contrainte « conséquentes » qu’il a subies. Ce grief n’est pas pertinent et doit être écarté. Premièrement, les mesures en causes n’étaient pas conséquentes puisqu’il a été dit qu’elles étaient peu invasives et que la détention a duré moins de 24 heures. Ensuite, il résulte de ce qui précède que lesdites contestations n’étaient pas justifiées, d’une part, et que le procureur envisageait une réparation à forme de l’art. 431 al. 2 CPP, d’autre part. L’assistance d’un avocat n’était donc plus nécessaire pour sauvegarder les intérêts du recourant. Pour le surplus, ce dernier ne soutient pas qu’il se trouverait – encore – dans un cas de défense obligatoire et, en l’état actuel, on ne conçoit pas que la cause comporte encore la moindre complexité en fait ou en droit justifiant le recours à un avocat, étant précisé qu’aucune instruction pénale n’a encore été ouverte contre Z.________ en relation avec les photographies découvertes dans son téléphone portable. Cas échéant, le défenseur de choix du prénommé pourra réitérer sa requête tendant à être désigné en qualité de défenseur d’office si et lorsque tel sera le cas.</w:t>
      </w:r>
    </w:p>
    <w:p>
      <w:r>
        <w:t>- 24 -</w:t>
      </w:r>
    </w:p>
    <w:p>
      <w:r>
        <w:rPr>
          <w:b/>
        </w:rPr>
        <w:t>E. 4</w:t>
      </w:r>
    </w:p>
    <w:p>
      <w:r>
        <w:t>Au vu de ce qui précède, le recours, mal fondé, doit être rejeté dans la faible mesure de sa recevabilité et l’ordonnance attaquée confirmée en tant qu’elle vaut refus de retrancher des pièces du dossier et de désigner Me Charlotte Palazzo en qualité de défenseur d’office de Z.________. Compte tenu de ce qui a été exposé au consid. 3.2 ci-avant et du sort du recours, il n’y a pas lieu de désigner Me Charlotte Palazzo en qualité de défenseur d’office de Z.________ pour la procédure de recours, les conditions de l’art. 132 CPP n’étant pas réunies. Les frais de la procédure de recours, constitués en l’espèce du seul émolument d'arrêt, par 2’310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requête tendant à la désignation de Me Charlotte Palazzo en qualité de défenseur d’office de Z.________ pour la procédure de recours est rejetée. III. Les frais d’arrêt, par 2'310 fr. (deux mille trois cent dix francs), sont mis à la charge de Z.________. IV. L’arrêt est exécutoire. La juge présidant : Le greffier :</w:t>
      </w:r>
    </w:p>
    <w:p>
      <w:r>
        <w:t>- 25 - Du Le présent arrêt, dont la rédaction a été approuvée à huis clos, est notifié, par l'envoi d'une copie complète, à : - Me Charlotte Palazzo, avocate (pour Z.________),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