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PE23.004959 vom 27. September 2023</w:t>
      </w:r>
    </w:p>
    <w:p>
      <w:r>
        <w:t>VD Tribunal cantonal, 2023-09-27, FR</w:t>
      </w:r>
    </w:p>
    <w:p>
      <w:r>
        <w:rPr>
          <w:b/>
        </w:rPr>
        <w:t xml:space="preserve">Quelle: </w:t>
      </w:r>
      <w:r>
        <w:t>https://mcp.opencaselaw.ch/entscheid/vd_gerichte_PE23.004959</w:t>
      </w:r>
    </w:p>
    <w:p>
      <w:r>
        <w:t>FR: VD_GERICHTE PE23.004959 du 27 septembre 2023</w:t>
      </w:r>
    </w:p>
    <w:p>
      <w:r>
        <w:t>IT: VD_GERICHTE PE23.004959 del 27 settembre 2023</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dans le délai légal et devant l’autorité compétente par B.B.________, représentant légal de A.B.________, qui a qualité pour recourir (art. 106 al. 2 et 382 al. 1 et CPP). Il satisfait en outre aux conditions de formes prescrites (art. 385 al. 1 CPP).</w:t>
      </w:r>
    </w:p>
    <w:p>
      <w:r>
        <w:rPr>
          <w:b/>
        </w:rPr>
        <w:t>E. 2.1</w:t>
      </w:r>
    </w:p>
    <w:p>
      <w:r>
        <w:t>Le recourant considère qu’il n’y a aucune raison de retenir les propos de A.G.________ plutôt que les déclarations faites par son fils A.B.________ dans le cadre de son dépôt de plainte. Ainsi, selon lui, A.G.________ aurait adopté un comportement très virulent et menaçant à l’égard de son fils, dans un train rempli d’élèves, de sorte que le procureur n’était pas fondé à considérer que les menaces n’étaient pas suffisamment caractérisées sans avoir procédé à l’audition des témoins présents au moment des faits. Le recourant fait par ailleurs valoir que le Ministère public ne pouvait pas tirer argument du fait que A.G.________, par les propos qu’il avait tenus, entendait en réalité entreprendre des démarches judiciaires et non « régler les choses par lui-même », la plainte étant antérieure aux faits qui lui sont reprochés. Enfin, il voit dans le fait que son fils ait osé parler et déposer plainte, une preuve que les menaces proférées l’auraient alarmé.</w:t>
      </w:r>
    </w:p>
    <w:p>
      <w:r>
        <w:rPr>
          <w:b/>
        </w:rPr>
        <w:t>E. 2.2.1</w:t>
      </w:r>
    </w:p>
    <w:p>
      <w:r>
        <w:t>Conformément à l'art. 310 al. 1 let. a CPP, le Ministère public rend immédiatement – c'est-à-dire sans qu'une instruction soit ouverte</w:t>
      </w:r>
    </w:p>
    <w:p>
      <w:r>
        <w:t>- 5 - (art. 309 al. 1 et 4 CPP ; ATF 144 IV 86 consid. 2.3.3) – une ordonnance de non-entrée en matière lorsqu'il apparaît, à réception de la dénonciation (cf. art. 301 et 302 CPP) ou de la plainte (Cornu,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6B_1177/2022 du 21 février 2023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(ATF 146 IV 68 consid. 2.1 et les références citées).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t>- 6 -</w:t>
      </w:r>
    </w:p>
    <w:p>
      <w:r>
        <w:rPr>
          <w:b/>
        </w:rPr>
        <w:t>E. 2.2.2</w:t>
      </w:r>
    </w:p>
    <w:p>
      <w:r>
        <w:t>Selon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6B_1054/2021 du 11 mars 2022 consid. 3.1 ; TF 6B_508/2021 du 14 janvier 2022 consid. 2.1), ni que l’auteur ait réellement la volonté de réaliser sa menace (ATF 122 IV 322 consid. 1a ; ATF 105 IV 120 consid. 2a, JdT 1980 IV 115 ; TF 6B_508/2021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 TF 6B_1314/2018 du 29 janvier 2019 consid. 3.2.1). Les menaces de lésions corporelles graves ou de mort doivent être considérées comme des menaces graves au sens de l’art. 180 CP (TF 6B_787/2018 du 1er octobre 2018 consid. 3.1 ;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6B_508/2021 précité ; TF 6B_135/2021 du 27 septembre 2021 consid. 3.1).</w:t>
      </w:r>
    </w:p>
    <w:p>
      <w:r>
        <w:t>- 7 -</w:t>
      </w:r>
    </w:p>
    <w:p>
      <w:r>
        <w:rPr>
          <w:b/>
        </w:rPr>
        <w:t>E. 2.3</w:t>
      </w:r>
    </w:p>
    <w:p>
      <w:r>
        <w:t>En l’occurrence, A.B.________ a déclaré que lorsqu’il avait parlé avec A.G.________, celui-ci semblait fâché et lui avait dit que s’il y avait encore un problème avec son fils [...], il aurait affaire à lui. Quant à A.G.________, il a affirmé que sa volonté n’était pas de menacer A.B.________ de s’en prendre à lui, mais de lui signifier que s’il ne cessait pas ses agissements, il y aurait des suites judiciaires. Il a précisé que ces propos n’avaient pas été prononcés de manière agressive. Certes, le procureur a raison lorsqu’il indique que les versions des parties ne concordent pas. Toutefois, il n’est fondé à rendre une ordonnance de non-entrée en matière que dans les cas où il apparaît d’emblée qu’aucun acte d’enquête ne pourra apporter la preuve d’une infraction à la charge d’une personne déterminée. Or, sur ce point, on peut donner acte au recourant que plusieurs témoins étaient présents au moment des faits et seraient susceptibles de renseigner la justice, d’une part sur la teneur des propos tenus par A.G.________ et, d’autre part, sur le sérieux de la menace. Au vu de ce qui précède, force est de constater qu’il ne peut pas être exclu que des mesures d’instruction puissent permettre d’éclaircir les faits. Les conditions d’un refus d’entrer en matière posées par l’art. 310 al. 1 let. a CPP ne sont ainsi pas réunies. Il appartiendra par conséquent au Ministère public d’ouvrir une instruction pénale et de procéder à tout acte d’instruction propre à élucider les faits en relation avec l’infraction de menace, notamment en auditionnant les personnes présentes au moment des faits.</w:t>
      </w:r>
    </w:p>
    <w:p>
      <w:r>
        <w:rPr>
          <w:b/>
        </w:rPr>
        <w:t>E. 3.1</w:t>
      </w:r>
    </w:p>
    <w:p>
      <w:r>
        <w:t>Le recourant fait encore valoir que le comportement de A.G.________ est susceptible de constituer une tentative de contrainte contre son fils A.B.________, en relation avec la procédure ouverte devant le Tribunal des mineurs.</w:t>
      </w:r>
    </w:p>
    <w:p>
      <w:r>
        <w:t>- 8 -</w:t>
      </w:r>
    </w:p>
    <w:p>
      <w:r>
        <w:rPr>
          <w:b/>
        </w:rPr>
        <w:t>E. 3.2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L’art. 181 CP protège la liberté d'action et de décision (ATF 141 IV 437 consid. 3.2.1). La contrainte est une infraction de résultat. Pour qu'elle soit consommée, il faut que la victime, sous l'effet de moyens de contrainte illicites, commence à modifier son comportement, subissant ainsi l'influence voulue par l'auteur (TF 6B_1082/2021 du 18 mars 2022 consid. 2.1 ; TF 6B_367/2020 du 17 janvier 2022 consid. 13.3.1 ; TF 6B_358/2021 du 15 septembre 2021 consid. 3.1). Lorsque la victime ne se laisse pas intimider et n'adopte pas le comportement voulu par l'auteur, ce dernier est punissable de tentative de contrainte (art. 22 al. 1 CP ; ATF 129 IV 262 consid. 2.7 ; ATF 106 IV 125 consid. 2b).</w:t>
      </w:r>
    </w:p>
    <w:p>
      <w:r>
        <w:rPr>
          <w:b/>
        </w:rPr>
        <w:t>E. 3.3</w:t>
      </w:r>
    </w:p>
    <w:p>
      <w:r>
        <w:t>En l’occurrence, l’argumentation présentée par le recourant ne convainc pas. En effet, même si l’audition par la police a eu lieu postérieurement à l’ouverture de l’enquête pénale devant le Tribunal des mineurs, on constate que rien dans les propos tenus par les parties ne fait allusion à cette procédure, de sorte que l’on ne discerne aucune contrainte au sens où l’entend le recourant.</w:t>
      </w:r>
    </w:p>
    <w:p>
      <w:r>
        <w:rPr>
          <w:b/>
        </w:rPr>
        <w:t>E. 4</w:t>
      </w:r>
    </w:p>
    <w:p>
      <w:r>
        <w:t>Enfin, s’agissant de l’infraction de diffamation mentionnée dans la plainte pénale, elle ne fait l’objet d’aucun développement ni par le procureur, ni par le recourant, de sorte qu’elle n’a pas à être examinée ici.</w:t>
      </w:r>
    </w:p>
    <w:p>
      <w:r>
        <w:rPr>
          <w:b/>
        </w:rPr>
        <w:t>E. 5</w:t>
      </w:r>
    </w:p>
    <w:p>
      <w:r>
        <w:t>Il résulte de ce qui précède que le recours doit être admis, l’ordonnance entreprise annulée et le dossier de la cause renvoyé au Ministère public pour qu’il procède dans le sens des considérants. Vu l’admission du recours, les frais de la procédure, constitués en l’espèce du seul émolument d'arrêt, par 880 fr. (art. 20 al. 1 TFIP [Tarif</w:t>
      </w:r>
    </w:p>
    <w:p>
      <w:r>
        <w:t>- 9 - des frais de procédure et indemnités en matière pénale du 28 septembre 2010 ; BLV 312.03.1]), seront laissés à la charge de l’Etat (art. 428 al. 4 CPP). Le montant de 550 fr. versé par le recourant à titre de sûretés lui sera par ailleurs restitué (art. 7 TFIP). Par ces motifs, la Chambre des recours pénale prononce : I. Le recours est admis. II. L’ordonnance du 17 mars 2023 est annulée. III. Le dossier de la cause est renvoyé au Ministère public de l’arrondissement du Nord vaudois pour qu’il procède dans le sens des considérants. IV. Les frais d’arrêt, par 880 fr. (huit cent huitante francs), sont laissés à la charge de l’Etat. V. Le montant de 550 fr. (cinq cent cinquante francs) versé par le recourant à titre de sûretés lui est restitué. VI. L’arrêt est exécutoire. La présidente : La greffière : Du Le présent arrêt, dont la rédaction a été approuvée à huis clos, est notifié, par l'envoi d'une copie complète, à : - M. B.B.________, - A.B.________,</w:t>
      </w:r>
    </w:p>
    <w:p>
      <w:r>
        <w:t>- 10 - - A.G.________,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