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PE23.004818 vom 9. Oktober 2023</w:t>
      </w:r>
    </w:p>
    <w:p>
      <w:r>
        <w:t>VD Tribunal cantonal, 2023-10-09, FR</w:t>
      </w:r>
    </w:p>
    <w:p>
      <w:r>
        <w:rPr>
          <w:b/>
        </w:rPr>
        <w:t xml:space="preserve">Quelle: </w:t>
      </w:r>
      <w:r>
        <w:t>https://mcp.opencaselaw.ch/entscheid/vd_gerichte_PE23.004818</w:t>
      </w:r>
    </w:p>
    <w:p>
      <w:r>
        <w:t>FR: VD_GERICHTE PE23.004818 du 9 octobre 2023</w:t>
      </w:r>
    </w:p>
    <w:p>
      <w:r>
        <w:t>IT: VD_GERICHTE PE23.004818 del 9 ottobre 2023</w:t>
      </w:r>
    </w:p>
    <w:p>
      <w:pPr>
        <w:pStyle w:val="Heading2"/>
      </w:pPr>
      <w:r>
        <w:t>Erwägungen</w:t>
      </w:r>
    </w:p>
    <w:p>
      <w:r>
        <w:rPr>
          <w:b/>
        </w:rPr>
        <w:t>E. 15</w:t>
      </w:r>
    </w:p>
    <w:p>
      <w:r>
        <w:t>août 2011 consid. 5.3 et les arrêts cités ; Dupuis et al. [éd.], Code pénal, Petit commentaire, 2e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 2.2.3 Aux termes de l'art. 303 ch. 1 al. 1 CP, se rend coupable de dénonciation calomnieuse et sera puni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w:t>
      </w:r>
    </w:p>
    <w:p>
      <w:r>
        <w:t>- 10 - comportement ; il suffit qu’il rapporte à l’autorité, à dessein, des faits suffisants pour que celle-ci conçoive un soupçon qui l’oblige à procéder à des investigations (Delnon/Rüdy, in : Niggli/ 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6B_1132/2021 du 8 juin 2022 consid. 2.2. ; TF 6B_1188/2017 du 5 juin 2018 consid. 2.2.1). L’élément constitutif subjectif de l’infraction implique que l’auteur sache que la personne qu’il dénonce est innocente. Il s’agit d’une connaissance au sens strict. Le dol éventuel ne suffit pas (ATF 136 IV 170 précité ; TF 6B_1132/2021 précité). Le dol éventuel suffit en revanche quant à l’intention de faire ouvrir une poursuite pénale (ATF 80 IV 117 ; TF 6B_1132/2021 précité ; TF 6B_1289/2018 du 20 février 2019). 2.2.4 Conformément à l’art. 14 CP, quiconque agit comme la loi l’ordonne ou l’autorise se comporte de manière licite, même si l’acte est punissable en vertu du Code pénal ou d’une autre loi. Le fait justificatif doit en principe être examiné avant la question des preuves libératoires prévues par l’art. 173 ch. 2 CP (ATF 135 IV 177 consid. 4 ; TF 6B_1254/2019 du 16 mars 2020 consid. 7.1).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6B_475/2020 du 31 août 2020 consid. 2.2.2 ; TF 6B_541/2019 du 15 juillet 2019 consid. 2.2 et les références citées).</w:t>
      </w:r>
    </w:p>
    <w:p>
      <w:r>
        <w:t>- 11 - 2.3 La dénonciation adressée le 20 décembre 2021 au Ministère public par Me L.________ au nom de sa cliente X.________ laisse entendre que H.________ se serait rendu coupable de violences conjugales, de séquestration et de menaces. Le complément déposé le 27 janvier 2022 fait quant à lui état de séquestration, de menaces qualifiées, de contrainte, d’escroquerie, d’extorsion et de chantage, de vol et d’abus de confiance. Il est ainsi manifeste que les allégations figurant dans ces deux écritures contiennent des propos attentatoires à l’honneur du recourant. Le fait de dire de celui-ci qu’il est un mari violent qui pourrait attenter à la vie de sa cliente, qu’il est menaçant ou encore qu’il contraigne son épouse à lui donner de grosses sommes d’argent, revient à l’accuser d’un comportement pénalement répréhensible. Toutefois, le recourant perd de vue que l’avocate a agi au nom de sa cliente et non pas pour son propre compte. Dans ce contexte, l’avocate pouvait faire valoir des assertions attentatoires à l’honneur pour autant que celles-ci soient pertinentes, qu’elles se limitent à ce qui est nécessaire au but visé, et qu’elles ne soient pas empreintes de mauvaise foi. En l’occurrence, chaque assertion de l’avocate est étayée par une pièce. Ces pièces ne figurent pas dans le dossier de la présente cause dès lors que H.________ ne les a pas produites ; mais il en a produit d’autres, dont un extrait du Journal des événements de la police (ci-après : JEP) dans lequel on peut lire ce qui suit : « Mme [...] est la sage-femme de la famille et constate la situation difficile du couple. A également reçu les confidences de l’épouse qui signale être victime de contrainte physique et psychologique de son époux » (P. 6/6), et un extrait d’un rapport de police, où on peut lire que si la sage-femme précitée n’a pas observé d’éléments inquiétants dans le lien père-enfant, elle avait revu X.________ à quelques reprises depuis l’expulsion de H.________ du domicile conjugal, et que de manière générale, « la mère était plus détendue, sans la présence de Monsieur » (P. 6/12). On comprend également de ce document partiel que H.________ a été expulsé du domicile conjugal, ce qui signifie a minima que les autorités ont donné du crédit aux accusations de violences</w:t>
      </w:r>
    </w:p>
    <w:p>
      <w:r>
        <w:t>- 12 - domestiques dénoncées. Enfin et surtout, force est de constater que suite aux dénonciations des 20 décembre 2021 et 27 janvier 2022, une enquête pénale a été ouverte par le Ministère public de l’arrondissement de La Côte sous référence PE21.022123-VWT, dans laquelle H.________ est prévenu de voies de fait qualifiées, lésions corporelles simples qualifiées, abus de confiance, extorsion et chantage, injure et contrainte. Il a par ailleurs été placé en détention provisoire le 9 août 2023 en lien avec le comportement dénoncé. Au vu de ces éléments, on ne saurait considérer que les allégations figurant dans la plainte pénale rédigée et signée par l’avocate au nom de sa cliente sont de mauvaise foi. Au demeurant, même à considérer que les propos de Me L.________ excèderaient la proportionnalité, ce qui n’est en l’état pas démontré, celle-ci pourrait se prévaloir de la preuve de la bonne foi (cf. consid. 2.2.3 in fine supra), dans la mesure où elle ne fait que représenter sa cliente, donc de relayer des propos que celle-ci lui a tenu, pièces à l’appui. L’élément subjectif faisant manifestement défaut, la décision de la procureure de ne pas entrer en matière sur la plainte déposée contre Me L.________ pour diffamation, subsidiairement calomnie et dénonciation calomnieuse ne prête pas le flanc à la critique. Par ailleurs, l’attestation de l’ostéopathe de [...] du 15 mai 2022 qui relève qu’elle n’a rien remarqué d’inquiétant, et celle rédigée par [...] qui a travaillé en qualité d’aide-ménagère pour le couple de mi- octobre 2021 au 17 décembre 2021 dans leur maison, qui indique qu’elle n’a pas constaté de problème particulier dans le couple [...], produites par le recourant, ne lui sont d’aucun secours dans le cadre de la présente procédure dès lors que la question à examiner ici n’est pas celle de savoir s’il a adopté le comportement dénoncé, mais si Me L.________ a agi conformément à ce que la loi lui permet, ce qui est le cas. Enfin, une ordonnance de non-entrée en matière n’emporte qu’une force de chose jugée relative puisqu’elle ne protège pas le prévenu contre une reprise de la procédure préliminaire ; le principe ne bis in idem n’est par conséquent pas applicable ; ainsi, si au terme de l’instruction de la procédure ouverte contre H.________ suite aux dénonciations contestées</w:t>
      </w:r>
    </w:p>
    <w:p>
      <w:r>
        <w:t>- 13 - de nouveaux éléments sont réunis qui incriminent Me L.________, une enquête pourra être ouverte contre cette dernière pour dénonciation calomnieuse. 3. Au vu de ce qui précède le recours, mal fondé, doit être rejeté sans échange d’écritures (cf. art. 390 al. 2 CPP) et l’ordonnance du 2 juin 2023 confirmée. La requête d’assistance judiciaire doit être rejetée, dès lors que le recours était manifestement dénué de chances de succès et qu’il en va de même d’éventuelles conclusions civiles, que le recourant n’a du reste pas articulées (art. 136 al. 1 let. b CPP).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juin 2023 est confirmée. III. La requête d’assistance judiciaire est rejetée. IV. Les frais d’arrêt, par 1'320 fr. (mille trois cent vingt francs), sont mis à la charge de H.________. V. L’arrêt est exécutoire. La présidente : La greffière :</w:t>
      </w:r>
    </w:p>
    <w:p>
      <w:r>
        <w:t>- 14 - Du Le présent arrêt, dont la rédaction a été approuvée à huis clos, est notifié, par l'envoi d'une copie complète, à : - M.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