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PE23.004537 vom 23. März 2023</w:t>
      </w:r>
    </w:p>
    <w:p>
      <w:r>
        <w:t>VD Tribunal cantonal, 2023-03-23, FR</w:t>
      </w:r>
    </w:p>
    <w:p>
      <w:r>
        <w:rPr>
          <w:b/>
        </w:rPr>
        <w:t xml:space="preserve">Quelle: </w:t>
      </w:r>
      <w:r>
        <w:t>https://mcp.opencaselaw.ch/entscheid/vd_gerichte_PE23.004537</w:t>
      </w:r>
    </w:p>
    <w:p>
      <w:r>
        <w:t>FR: VD_GERICHTE PE23.004537 du 23 mars 2023</w:t>
      </w:r>
    </w:p>
    <w:p>
      <w:r>
        <w:t>IT: VD_GERICHTE PE23.004537 del 23 marzo 2023</w:t>
      </w:r>
    </w:p>
    <w:p>
      <w:pPr>
        <w:pStyle w:val="Heading2"/>
      </w:pPr>
      <w:r>
        <w:t>Erwägungen</w:t>
      </w:r>
    </w:p>
    <w:p>
      <w:r>
        <w:rPr>
          <w:b/>
        </w:rPr>
        <w:t>E. 1</w:t>
      </w:r>
    </w:p>
    <w:p>
      <w:r>
        <w:t>CPP) et dans les formes prescrites (art. 385 al. 1 CPP), le recours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par la partie plaignante qui a qualité pour recourir (art. 382 al.</w:t>
      </w:r>
    </w:p>
    <w:p>
      <w:r>
        <w:rPr>
          <w:b/>
        </w:rPr>
        <w:t>E. 2</w:t>
      </w:r>
    </w:p>
    <w:p>
      <w:r>
        <w:t>Le recourant fait valoir que sa plainte n’était pas tardive et semble soutenir qu’au moment de son arrestation, il aurait été torturé durant quatorze jours dans les sous-sols de [...] par l’ancien procureur P.________, que cela aurait été reconnu dans le cadre du jugement pénal rendu contre lui le 24 septembre 2020 et que ces traitements inhumains et dégradants dont il aurait été victime auraient provoqué son divorce ainsi que des atteintes à sa santé mentale attestées par des certificats médicaux.</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- 5 -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En l’espèce, avec le Procureur général, force est de constater qu’il n’existe absolument aucun indice qui permettrait ne serait-ce que de suspecter le procureur P.________ de s’en être pris physiquement ou verbalement au recourant lors de son arrestation du 21 juillet 2015, pas plus que durant les jours qui ont suivi d’ailleurs. Les seules affirmations générales du recourant sont à cet égard insuffisantes. Les différents certificats médicaux produits (P. 4/2, pièces 3 et 4) – dont l’authenticité est par ailleurs difficile à établir – indiquent uniquement que le recourant « présenterait de signes de stress post-traumatique avec anxiété et</w:t>
      </w:r>
    </w:p>
    <w:p>
      <w:r>
        <w:t>- 6 - dépression » (P. 4/2, pièce 4, « conclusion »). En revanche, ils ne contiennent aucun élément permettant d’attester que cette affection aurait été provoquée par le procureur P.________ en particulier ou, même de manière générale, par la procédure pénale ouverte en 2015. Les rapports médicaux en question font certes état de l’emprisonnement du recourant et de ses conséquences, mais précisent à plusieurs reprises que les faits évoqués ressortent des seuls dires du recourant. En outre, B.________ semble tirer du fait d’avoir été détenu entre le 21 juillet 2015 et le 4 août 2015 à [...] une preuve de la torture qu’il aurait subie. Certes, le jugement du 24 septembre 2020 rendu par le Tribunal correctionnel de l’arrondissement l’Est vaudois constate au chiffre III de son dispositif (P. 4/2, pièce 9) que le recourant a été détenu dans des conditions illicites durant treize jours, soit probablement dans la zone carcérale du [...] ou de l’[...]. Toutefois, il faut relever que le procureur P.________ ne peut être tenu pour responsable de ce fait. En effet, le Ministère public n’a pas la compétence de décider du lieu de détention des prévenus, celle-ci étant dévolue au Service pénitentiaire et étant fonction des places disponibles notamment. Il ressort d’ailleurs des pièces produites par le recourant lui-même que, dans le cas d’espèce, le procureur avait expressément ordonné le transfert de celui-ci dans un établissement pénitentiaire dès le premier jour de son arrestation (cf. avis de détention du 21 juillet 2015, P. 4/2, pièce 6). Deuxièmement, contrairement à ce que le recourant semble soutenir, le fait que des conditions illicites de détention ont été retenues ne signifie pas non plus que le procureur en serait responsable. Il résulte de ce qui précède que c’est à juste titre que le Procureur général a considéré que les conditions à l'ouverture de l'action pénale n'étaient manifestement pas réunies.</w:t>
      </w:r>
    </w:p>
    <w:p>
      <w:r>
        <w:rPr>
          <w:b/>
        </w:rPr>
        <w:t>E. 3</w:t>
      </w:r>
    </w:p>
    <w:p>
      <w:r>
        <w:t>En définitive, le recours, manifestement mal fondé, doit être rejeté sans échange d’écritures (art. 390 al. 2 CPP) et l’ordonnance du 13 février 2023 confirmée.</w:t>
      </w:r>
    </w:p>
    <w:p>
      <w:r>
        <w:t>- 7 - Vu le sort du recours, les frais de procédure,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février 2023 est confirmée. III. Les frais d’arrêt, par 660 fr. (six cent soixante francs), sont mis à la charge de B.________. IV. L’arrêt est exécutoire. La présidente : La greffière : Du Le présent arrêt, dont la rédaction a été approuvée à huis clos, est notifié, par l'envoi d'une copie complète, à : - M. B.________, - M. le Procureur général.</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