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PE23.004343 vom 2. Juni 2023</w:t>
      </w:r>
    </w:p>
    <w:p>
      <w:r>
        <w:t>VD Tribunal cantonal, 2023-06-02, FR</w:t>
      </w:r>
    </w:p>
    <w:p>
      <w:r>
        <w:rPr>
          <w:b/>
        </w:rPr>
        <w:t xml:space="preserve">Quelle: </w:t>
      </w:r>
      <w:r>
        <w:t>https://mcp.opencaselaw.ch/entscheid/vd_gerichte_PE23.004343</w:t>
      </w:r>
    </w:p>
    <w:p>
      <w:r>
        <w:t>FR: VD_GERICHTE PE23.004343 du 2 juin 2023</w:t>
      </w:r>
    </w:p>
    <w:p>
      <w:r>
        <w:t>IT: VD_GERICHTE PE23.004343 del 2 giugno 2023</w:t>
      </w:r>
    </w:p>
    <w:p>
      <w:pPr>
        <w:pStyle w:val="Heading2"/>
      </w:pPr>
      <w:r>
        <w:t>Volltext</w:t>
      </w:r>
    </w:p>
    <w:p>
      <w:r>
        <w:t>TRIBUNAL CANTONAL 456 PE23.004343-PGT CHAMBRE DE S RECO URS PEN ALE __________________________________________ Arrêt du 2 juin 2023 __________________ Composition : Mme BYRDE, présidente M. Perrot et Mme Courbat, juges Greffière : Mme Gruaz ***** Art. 173, 174 CP ; 310 CPP Statuant sur le recours interjeté le 17 mars 2023 par B.________ contre l’ordonnance de non-entrée en matière rendue le 7 mars 2023 par le Ministère public de l’arrondissement du Nord vaudois dans la cause n° PE23.004343-PGT, la Chambre des recours pénale considère : En fait : A. Le 27 février 2023, B.________ a déposé plainte contre R.________, une amie d’enfance, lui reprochant d’avoir tenu des propos attentatoires à son honneur auprès du Dr [...], qui était chargé d’établir une expertise dans le cadre d’une procédure de mesures protectrices de l’union conjugale, de telle sorte que ce dernier a préconisé un placement de ses enfants dans son rapport du 30 novembre 2022. 351</w:t>
      </w:r>
    </w:p>
    <w:p>
      <w:r>
        <w:t>- 2 - B. Par ordonnance du 7 mars 2023, le Ministère public de l’arrondissement du Nord vaudois (ci-après : le Ministère public ou le procureur) a refusé d’entrer en matière sur la plainte de B.________ (I) et a laissé les frais à la charge de l’Etat (II). Le procureur a considéré en substance qu’aucune infraction n’était réalisée, dès lors que les allégations incriminées ne faisaient pas apparaître B.________ comme méprisable et que les documents produits en annexe à la plainte ne permettaient pas d’établir que R.________ avait menti et encore moins qu’elle l’avait fait volontairement pour nuire à la plaignante. C. Par acte du 17 mars 2023, B.________ a recouru contre cette ordonnance en concluant implicitement à son annulation et à l’ouverture d’une instruction contre R.________. Par avis du 23 mars 2023, la Chambre de céans a imparti à B.________ un délai au 12 avril 2023 pour effectuer un dépôt de 550 fr. à titre de sûretés pour les frais qui pourraient être mis à sa charge en cas de rejet ou d’irrecevabilité du recours. La recourante a versé ledit montant en date du 11 avril 2023.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w:t>
      </w:r>
    </w:p>
    <w:p>
      <w:r>
        <w:t>- 3 - Code de procédure pénale suisse du 19 mai 2009; BLV 312.01]; art. 80 LOJV [Loi d’organisation judiciaire du 12 décembre 1979; BLV 173.01]). 1.2 En l’espèce, interjeté en temps utile auprès de l’autorité compétente et dans les formes prescrites par la partie plaignante qui a qualité pour recourir (art. 382 al. 1 CPP), le recours est recevable. 2. 2.1 La recourante soutient que les propos tenus par R.________, selon elle dénués de toute vérité, ont porté atteinte à sa personne, ainsi qu’à ses compétences éducatives. 2.2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w:t>
      </w:r>
    </w:p>
    <w:p>
      <w:r>
        <w:t>- 4 -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2.3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w:t>
      </w:r>
    </w:p>
    <w:p>
      <w:r>
        <w:t>- 5 -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w:t>
      </w:r>
    </w:p>
    <w:p>
      <w:r>
        <w:t>- 6 - faut procéder à une interprétation objective selon le sens que le destinataire non prévenu devait, dans les circonstances d'espèce, lui attribuer (ATF 148 IV 409 consid. 2.3.2 ; ATF 137 IV 313 consid. 2.1.3). Il y a toujours atteinte à l’honneur lorsqu’on évoque une infraction pénale ou un comportement clairement réprouvé par les conceptions morales généralement admises (ATF 148 IV 409 consid. 2.3 ; ATF 145 IV 462 consid. 4.2.2). Pour qu'il y ait diffamation ou calomnie,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consid. 2.1.1 ; TF 6S.3/2007 consid. 4.3 et les références citées). Le Tribunal fédéral a examiné si, parmi ces deux catégories de confidents, il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148 IV 409 consid. 2.3 ; ATF 145 IV 462 consid. 4.3.3 ; pour les membres de la famille proche, cf. TF 6B_69/2016 du 29 septembre 2016 consid. 2.1.1 ; pour une casuistique complète, cf. Trechsel/Lehmkuhl, in : Trechsel/Pieth [éd.], Schweizerisches Strafgesetzbuch, Praxiskommentar, 4e éd. 2021 n. 4 ad art. 173 CP). Du point de vue subjectif, l’art. 173 ch. 1 CP exige que l’auteur ait eu conscience du caractère attentatoire à l’honneur de ses propos et qu’il les ait néanmoins proférés ; il n’est pas nécessaire qu’il ait eu la volonté de blesser la personne visée (ATF 137 IV 313 consid. 2.1.6 ; TF 6B_541/2019 du 15 juillet 2019 consid. 2.1).</w:t>
      </w:r>
    </w:p>
    <w:p>
      <w:r>
        <w:t>- 7 - 2.4 En l’espèce, dans sa plainte et son recours, B.________ a cité pratiquement l’entier de la transcription de l’échange entre l’expert et son amie d’enfance dans laquelle certains propos de R.________ sont cités, soit notamment : « il fallait que rien n’arrive aux enfants, elle n’avait pas confiance, [pour les confier], elle voulait tout contrôler » et « les enfants sont conditionnés ». A l’exception des mots « pas eu une volonté de se confier » qui ont été surlignés par B.________ dans le rapport annexé à sa plainte, celle-ci n’a pas indiqué les propos qu’elle considérait comme calomnieux à son encontre ni le motif pour lequel elle se considérait comme atteinte dans son honneur par ceux-ci. B.________ se plaint uniquement que « les propos ne trouvent aucun ancrage dans la réalité et sont insoutenables ». Cependant, pour que l’infraction de calomnie soit réalisée, il ne suffit pas que les allégations soient fausses, il faut également qu’elles fassent apparaître la personne visée comme méprisable, ce qui n’est absolument pas le cas en l’espèce. En effet, le fait que R.________ ait déclaré, même si c’est à tort, que la recourante avait coupé les liens avec elle et qu’elle n’osait pas confier ses enfants ne sont pas de nature à la faire passer comme une personne méprisable. De plus, pour que l’infraction de calomnie soit réalisée, il est encore nécessaire que l’auteur présumé ait eu conscience de l’éventuel caractère attentatoire à l’honneur de ses propos, ce qui n’est étayé par aucun élément au dossier. On relève d’ailleurs que R.________ a également déclaré que B.________ avait un « amour infini » pour ses enfants et qu’elle considérait qu’ils étaient heureux avec leur mère, ce qui indique à l’évidence qu’elle n’a pas cherché à porter préjudice à son amie. R.________ a ainsi fait part à l’expert de sa perception de la situation et le fait que B.________ estime que cette vision est erronée n’est pas suffisant pour justifier l’ouverture d’une instruction. C’est donc à juste titre que le Ministère public a refusé d’entrer en matière sur sa plainte. 3. Au vu de ce qui précède, le recours, manifestement mal fondé, doit être rejeté sans échange d’écritures (art. 390 al. 2 CPP) et l’ordonnance du 7 mars 2023 confirmée.</w:t>
      </w:r>
    </w:p>
    <w:p>
      <w:r>
        <w:t>- 8 -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Ces frais seront compensés à due concurrence avec le montant des sûretés de 550 fr. déjà versé par la recourante, le solde de 220 fr. restant à sa charge (art. 7 TFIP). Par ces motifs, la Chambre des recours pénale prononce : I. Le recours est rejeté. II. L’ordonnance du 7 mars 2023 est confirmée. III. Les frais de procédure, par 770 fr. (sept cent septante francs), sont mis à la charge de B.________. IV. Le montant de 550 fr. (cinq cent cinquante francs) déjà versé par la recourante à titre de sûretés est imputé sur les frais mis à sa charge au chiffre III ci-dessus. V. L’arrêt est exécutoire. La présidente : La greffière : Du Le présent arrêt, dont la rédaction a été approuvée à huis clos, est notifié, par l'envoi d'une copie complète, à : - B.________, - Ministère public central,</w:t>
      </w:r>
    </w:p>
    <w:p>
      <w:r>
        <w:t>- 9 -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