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PE23.004117 vom 2. November 2023</w:t>
      </w:r>
    </w:p>
    <w:p>
      <w:r>
        <w:t>VD Tribunal cantonal, 2023-11-02, FR</w:t>
      </w:r>
    </w:p>
    <w:p>
      <w:r>
        <w:rPr>
          <w:b/>
        </w:rPr>
        <w:t xml:space="preserve">Quelle: </w:t>
      </w:r>
      <w:r>
        <w:t>https://mcp.opencaselaw.ch/entscheid/vd_gerichte_PE23.004117</w:t>
      </w:r>
    </w:p>
    <w:p>
      <w:r>
        <w:t>FR: VD_GERICHTE PE23.004117 du 2 novembre 2023</w:t>
      </w:r>
    </w:p>
    <w:p>
      <w:r>
        <w:t>IT: VD_GERICHTE PE23.004117 del 2 novembre 2023</w:t>
      </w:r>
    </w:p>
    <w:p>
      <w:pPr>
        <w:pStyle w:val="Heading2"/>
      </w:pPr>
      <w:r>
        <w:t>Erwägungen</w:t>
      </w:r>
    </w:p>
    <w:p>
      <w:r>
        <w:rPr>
          <w:b/>
        </w:rPr>
        <w:t>E. 2</w:t>
      </w:r>
    </w:p>
    <w:p>
      <w:r>
        <w:t>La recourante conteste la décision du Ministère public de ne pas entrer en matière sur sa plainte.</w:t>
      </w:r>
    </w:p>
    <w:p>
      <w:r>
        <w:rPr>
          <w:b/>
        </w:rPr>
        <w:t>E. 2.1</w:t>
      </w:r>
    </w:p>
    <w:p>
      <w:r>
        <w:t>Conformément à l'art. 310 al. 1 let. a CPP, le Ministère public rend immédiatement – c'est-à-dire sans qu'une instruction soit ouverte (art. 309 al. 1 et 4 CPP ; ATF 144 IV 81 consid. 2.3.3 ; Grodecki/Cornu, in : Jeanneret/Kuhn/Perrier Depeursinge [éd.],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w:t>
      </w:r>
    </w:p>
    <w:p>
      <w:r>
        <w:t>- 6 -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6B_1023/2021, 6B_1075/2021 du 30 janvier 2023 consid. 3.3 ; 6B_137/2021 du 27 septembre 2022 consid. 3.4 et réf. cit.).</w:t>
      </w:r>
    </w:p>
    <w:p>
      <w:r>
        <w:rPr>
          <w:b/>
        </w:rPr>
        <w:t>E. 2.2.1</w:t>
      </w:r>
    </w:p>
    <w:p>
      <w:r>
        <w:t>Selon l’art. 138 ch. 1 al. 2 CP, se rend coupable d’abus de confiance,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w:t>
      </w:r>
    </w:p>
    <w:p>
      <w:r>
        <w:t>- 7 - d'autres termes, qu'il l'ait reçue à charge pour lui d'en disposer au gré d'un tiers, notamment de la conserver, de la gérer ou de la remettre (ATF 133 IV 21 consid. 6.2 ; Corboz, Les infractions en droit suisse, vol. I, 3e éd., Berne 2010, n. 4 ad art. 138 CP). Le comportement délictueux consiste à utiliser la valeur patrimoniale contrairement aux instructions reçues, en s'écartant de la destination fixée (ATF 129 IV 257 consid. 2.2.1 et réf. cit.).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 TF 6B_1017/2022, 6B_1029/2022 du 7 juin 2023 consid. 2.1). Du point de vue subjectif, l'auteur doit avoir agi intentionnellement et dans un dessein d'enrichissement illégitime, lequel peut être réalisé par dol éventuel (ATF 118 IV 32 consid. 2a ; TF 6B_1169/2022 du 30 juin 2023 consid. 2.2 ; TF 6B_595/2022 du 2 juin 2023 consid. 2.1.2).</w:t>
      </w:r>
    </w:p>
    <w:p>
      <w:r>
        <w:rPr>
          <w:b/>
        </w:rPr>
        <w:t>E. 2.2.2</w:t>
      </w:r>
    </w:p>
    <w:p>
      <w:r>
        <w:t>A teneur de l'art. 146 al. 1 CP,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w:t>
      </w:r>
    </w:p>
    <w:p>
      <w:r>
        <w:t>- 8 -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 Petit Commentaire du Code pénal, 2e éd., Bâle 2017, nn. 11 ss ad art. 146 CP et les réf.).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 ; ATF 115 IV 32 consid. 3a ; Corboz, Les infractions en droit suisse, vol. I, 3e éd., Berne 2010, nn. 31 et 38 ad art. 146 CP ; Dupuis et al., op. cit., n. 32 ad art. 146 CP).</w:t>
      </w:r>
    </w:p>
    <w:p>
      <w:r>
        <w:rPr>
          <w:b/>
        </w:rPr>
        <w:t>E. 2.2.3</w:t>
      </w:r>
    </w:p>
    <w:p>
      <w:r>
        <w:t>Aux termes de l’art. 151 CP,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sera, sur plainte, puni d’une peine privative de liberté de trois ans au plus ou d’une peine pécuniaire. L’atteinte astucieuse aux intérêts pécuniaires d’autrui correspond à une escroquerie sans dessein d’enrichissement illégitime.</w:t>
      </w:r>
    </w:p>
    <w:p>
      <w:r>
        <w:t>- 9 - L’auteur veut seulement nuire à autrui, sans chercher à s’enrichir ou à enrichir un tiers. Ainsi, hormis cet aspect, tous les autres éléments constitués de l’escroquerie (art. 146 CP) doivent être réalisés (Dupuis et al. [éd.], Petit Commentaire, Code pénal, 2e éd., Bâle 2017, n. 1 ad art. 151 CP ; Garbarski/Borsodi in : Macaluso/Moreillon/Queloz [éd.], Commentaire romand, Code pénal II, Bâle 2017, n. 3 ad art. 151 CP).</w:t>
      </w:r>
    </w:p>
    <w:p>
      <w:r>
        <w:rPr>
          <w:b/>
        </w:rPr>
        <w:t>E. 2.3</w:t>
      </w:r>
    </w:p>
    <w:p>
      <w:r>
        <w:t>En l’espèce, la recourante X.________ se borne à citer dans son recours les infractions d’abus de confiance, d’escroquerie et d’atteinte astucieuse aux intérêts pécuniaires d’autrui, sans procéder à un quelconque examen des conditions légales posées par les art. 138, 146 et 151 CP. Elle ne démontre absolument pas en quoi les infractions reprochées seraient réalisées, sur les plans objectif et subjectif. Dans sa plainte, F.________ a indiqué avoir appris par G.________, le 23 mars 2022, que H.________ ne lui prodiguait plus les soins pour lesquels il était rémunéré, mais confiait cette tâche à sa mère, contre rémunération. Elle précisait ne pas savoir depuis quand l’intimé ne prodiguerait plus ces soins, ajoutant que « sans avoir de preuve tangible, [elle] soupçonn[ait] néanmoins que cette situation perdur[ait] depuis longtemps ». Ses soupçons sont uniquement fondés sur les déclarations de l’enfant. Or, le 23 mars 2022, G.________ était âgée de onze ans. Elle souffrait déjà de polyhandicap, défini comme un handicap grave à expressions multiples associant toujours une déficience motrice et une déficience intellectuelle sévère ou profonde, entraînant une restriction extrême de l’autonomie et des possibilités de perception, d’expression et de relation. Dans ces circonstances, il paraît disproportionné qu’alors qu’elle travaillait avec l’intimé depuis des années, cette seule déclaration de l’enfant ait amené F.________ à résilier leurs rapports contractuels avec effet immédiat et à adresser à la DGEJ un signalement de mineur en danger dans son développement. W.________ a indiqué lors de son audition par la police, le 16 septembre 2022, que l’intimé s’était toujours bien occupé de sa fille, et qu’il était consciencieux. Elle a expliqué l’avoir remplacé à trois ou quatre</w:t>
      </w:r>
    </w:p>
    <w:p>
      <w:r>
        <w:t>- 10 - reprises, ne souhaitant pas avoir affaire à des infirmiers qu’elle ne connaissait pas, qui seraient venus en remplacement de l’intimé. A ces occasions, elle aurait fait des lavements à sa fille, manipulation qu’elle avait apprise à l’Hôpital de [...]. Elle n’aurait pas touché de rémunération pour ce faire. L’intimé a quant à lui admis lors de son audition, le 5 octobre 2022, qu’il était arrivé que W.________ l’appelle pour lui dire qu’elle avait déjà donné les soins à sa fille ou que lorsqu’il arrivait à leur domicile elle l’avisait qu’elle avait déjà fait le nécessaire. Selon lui, entre 2021 et 2022, il y aurait eu cinq occurrences lors desquelles il n’avait pas prodigué les soins à sa patiente parce que sa mère s’en était déjà occupée. Il aurait avisé F.________ de chacune de ces occurrences. L’intimé a contesté avoir versé de l’argent à W.________ pour les soins qu’elle avait prodigués à sa fille. Selon les déclarations concordantes de l’intimé et de W.________, le nombre de fois où les soins n’ont pas été prodigués par ce dernier se chiffrent à quatre ou cinq sur une durée de deux ans. Or, le fait qu’un travailleur n’accomplisse pas, à quatre ou cinq reprises, pendant deux heures chacune, le travail qu’il devait faire, ne suffit pas à retenir l’une ou l’autre des infractions citées par la recourante X.________, dont les éléments constitutifs – en particulier la chose confiée ou l’astuce (cf. consid. 2.2.1 à 2.2.3 supra) – ne sont pas réalisés en l’espèce. L’astuce ne serait d’ailleurs pas non plus réalisée même dans l’hypothèse – non vérifiée – où l’intimé aurait perçu une rémunération pour ces quatre ou cinq absences. Les déclarations de la recourante et de l’intimé sont en outre irrémédiablement contradictoires en ce qui concerne la question de savoir si ce dernier a informé celle-ci que quelques rares visites n’avaient pas été effectuées, et X.________ ne propose pas de mesures d’instruction propres à départager les versions en présence. Partant, si c’est F.________ qui avait déposé l’acte de recours, celui-ci aurait dû être rejeté dans la mesure de sa faible recevabilité, faute de démonstration du fait que l’intimé ait pu se rendre coupable des</w:t>
      </w:r>
    </w:p>
    <w:p>
      <w:r>
        <w:t>- 11 - infractions citées. A cet égard, c’est le lieu de rappeler qu’il incombe à la partie plaignante d’énoncer des indices importants et de nature concrète relatifs à la commission d’une infraction et qu’à cet égard de simples rumeurs ou suppositions ne suffisent pas (TF 6B_488/2021 du 22 décembre 2021 consid. 5.3 et les réf. cit.). A titre superfétatoire, on relèvera enfin que la qualité de plaignante de F.________ paraît douteuse, les droits de celle-ci n’ayant a priori pas été directement touchés par les infractions reprochées.</w:t>
      </w:r>
    </w:p>
    <w:p>
      <w:r>
        <w:rPr>
          <w:b/>
        </w:rPr>
        <w:t>E. 3</w:t>
      </w:r>
    </w:p>
    <w:p>
      <w:r>
        <w:t>Au vu de ce qui précède, le recours doit être déclaré irrecevable sans échange d’écritures (art. 390 al. 2 CPP). Les frais de la procédure de recours, constitués du seul émolument d’arrêt, par 1’100 fr. (art. 20 al. 1 TFIP [tarif des frais de procédure et indemnités en matière pénale du 28 septembre 2010 ; BLV 312.03.1]), seront mis à la charge de la recourante X.________, qui succombe (art. 428 al. 1 CPP). Par ces motifs, la Chambre des recours pénale prononce : I. Le recours est irrecevable. II. Les frais d’arrêt, par 1’100 fr. (mille cent francs), sont mis à la charge de X.________. III. L’arrêt est exécutoire. La présidente : La greffière : Du Le présent arrêt, dont la rédaction a été approuvée à huis clos, est notifié, par l'envoi d'une copie complète, à : - Me Boris Heinzer, avocat (pour X.________),</w:t>
      </w:r>
    </w:p>
    <w:p>
      <w:r>
        <w:t>- 12 -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