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PE23.004107 vom 14. Januar 2026</w:t>
      </w:r>
    </w:p>
    <w:p>
      <w:r>
        <w:t>VD Tribunal cantonal, 2026-01-14, FR</w:t>
      </w:r>
    </w:p>
    <w:p>
      <w:r>
        <w:rPr>
          <w:b/>
        </w:rPr>
        <w:t xml:space="preserve">Quelle: </w:t>
      </w:r>
      <w:r>
        <w:t>https://mcp.opencaselaw.ch/entscheid/vd_gerichte_PE23.004107</w:t>
      </w:r>
    </w:p>
    <w:p>
      <w:r>
        <w:t>FR: VD_GERICHTE PE23.004107 du 14 janvier 2026</w:t>
      </w:r>
    </w:p>
    <w:p>
      <w:r>
        <w:t>IT: VD_GERICHTE PE23.004107 del 14 gennaio 2026</w:t>
      </w:r>
    </w:p>
    <w:p>
      <w:pPr>
        <w:pStyle w:val="Heading2"/>
      </w:pPr>
      <w:r>
        <w:t>Erwägungen</w:t>
      </w:r>
    </w:p>
    <w:p>
      <w:r>
        <w:rPr>
          <w:b/>
        </w:rPr>
        <w:t>E. 5</w:t>
      </w:r>
    </w:p>
    <w:p>
      <w:r>
        <w:t>L’appelant ne conteste la peine que dans la mesure où il conclut à son acquittement des chefs d’accusation les plus graves ; il requiert que la peine privative de liberté prononcée à son encontre soit de 3 mois, le sursis et le délai d’épreuve de 5 ans n’étant pas contestés.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13J010</w:t>
      </w:r>
    </w:p>
    <w:p>
      <w:r>
        <w:t>- 22 -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5.2</w:t>
      </w:r>
    </w:p>
    <w:p>
      <w:r>
        <w:t>En l’espèce, à l’instar des premiers juges, la Cour de céans considère que la culpabilité de l’appelant n’est pas de moindre importance, puisqu’il s’en est pris à la personne avec laquelle il partageait sa vie depuis plusieurs années, en la menaçant lorsqu’elle a mis fin à leur relation. Il a agi au mépris de toute considération pour la plaignante et a persisté dans son activité délictueuse alors qu’il avait déjà été condamné une première fois par le Tribunal de police de l’arrondissement de Lausanne pour des infractions à la LEI. Il n’a par ailleurs montré aucune prise de conscience. Les infractions sont en concours, facteur aggravant. On ne discerne pas d’élément à décharge. En définitive, l’appelant est reconnu coupable de menaces qualifiées, de séjour illégal et d’exercice d’une activité lucrative sans autorisation au sens de la LEI. Les menaces qualifiées constituent l’infraction la plus grave et imposent, à elles seules, le prononcé d’une peine privative de liberté de 2 mois, augmentée, par les effets du concours, d’un mois pour sanctionner le séjour illégal, et d’un mois pour réprimer l’exercice d’une activité lucrative sans autorisation. C’est donc une peine privative de liberté de 4 mois qui sera infligée à l’appelant, étant ici relevé que les faits ayant eu lieu entre les mois de janvier et juin 2023, cette peine n’est pas complémentaire à celle prononcée le 4 novembre 2022 par le Tribunal de police de l’arrondissement de Lausanne. 13J010</w:t>
      </w:r>
    </w:p>
    <w:p>
      <w:r>
        <w:t>- 23 - Le pronostic n’étant pas entièrement défavorable, la peine privative de liberté sera assortie du sursis complet, le délai d’épreuve – non contesté – étant fixé à 5 ans (cf. art. 44 al. 1 CP).</w:t>
      </w:r>
    </w:p>
    <w:p>
      <w:r>
        <w:rPr>
          <w:b/>
        </w:rPr>
        <w:t>E. 6</w:t>
      </w:r>
    </w:p>
    <w:p>
      <w:r>
        <w:t>L’appelant étant libéré du chef d’accusation de vol au préjudice de proches ou de familiers, il n’y a pas lieu d’allouer de dommages et intérêts à la plaignante, dont les conclusions civiles correspondaient au montant prétendument dérobé. Le jugement entrepris sera modifié sur ce point.</w:t>
      </w:r>
    </w:p>
    <w:p>
      <w:r>
        <w:rPr>
          <w:b/>
        </w:rPr>
        <w:t>E. 7</w:t>
      </w:r>
    </w:p>
    <w:p>
      <w:r>
        <w:t>Au vu de ce qui précède, l’appel doit être partiellement admis et le jugement entrepris modifié dans le sens des considérants qui précèdent. Le défenseur d’office de l’appelant a produit une liste d’opérations dont il n’y a pas lieu de s’écarter, si ce n’est pour y ajouter le temps consacré à l’audience d’appel. C’est ainsi une indemnité de 1’634 fr. 80 qui sera allouée à Me Fabien Mingard pour la procédure d’appel, correspondant à 7 heures et 35 minutes d’activité d’avocat au tarif horaire de 180 fr., par 1'365 fr., à 27 fr. 30 de débours au taux forfaitaire de 2 %, à 120 fr. de vacation (cf. art. 3bis al. 1 et 3 RAJ [règlement sur l’assistance judiciaire en matière civile du 7 décembre 2010 ; BLV 211.02.3], applicable par renvoi de l’art. 26b TFIP [tarif des frais de procédure et indemnités en matière pénale du 28 septembre 2010 ; BLV 312.03.1]) et à 122 fr. 50 de TVA au taux de 8,1 % sur le tout. Le conseil juridique gratuit de la partie plaignante a produit une liste d’opérations dont il n’y a pas non plus lieu de s’écarter, si ce n’est pour y ajouter le temps consacré à l’audience d’appel, ainsi qu’une vacation au tarif d’avocat-stagiaire. C’est ainsi une indemnité de 1’178 fr. 05 qui sera allouée à Me Maëlle Le Boudec pour la procédure d’appel, correspondant à 55 minutes d’activité d’avocat au tarif horaire de 180 fr., par 165 fr., à 7 heures et 30 minutes d’activité d’avocat-stagiaire au tarif horaire de 110 fr., par 825 fr., à 19 fr. 80 de débours au taux forfaitaire de 2 %, à 80 fr. de vacation et à 88 fr. 27 de TVA au taux de 8,1 % sur le tout. 13J010</w:t>
      </w:r>
    </w:p>
    <w:p>
      <w:r>
        <w:t>- 24 - Vu l’issue de la cause, les frais de la procédure de première instance, par 17'910 fr. 70, comprenant les indemnités allouées au défenseur d’office et au conseil juridique gratuit, seront mis par moitié, soit par 8'955 fr. 35, à la charge du prévenu, le solde étant laissé à la charge de l’Etat. Le jugement entrepris sera modifié sur ce point. S’agissant des frais de la procédure d’appel, par 5’052 fr. 85, constitués des émoluments de jugement et d’audience, par 2’240 fr. (art. 21 al. 1 et 2 TFIP), ainsi que des indemnités allouées au défenseur d’office et au conseil juridique gratuit, arrêtées à 1’634 fr. 80 et 1’178 fr. 05, ils seront également mis par moitié, soit par 2'526 fr. 45, à la charge de l’appelant, qui succombe partiellement (art. 428 al. 1 CPP), le solde étant laissé à la charge de l’Etat. L’appelant sera tenu de rembourser à l’Etat la moitié des indemnités allouées à son défenseur d’office et au conseil juridique gratuit de la partie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