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PE23.003646 vom 6. März 2023</w:t>
      </w:r>
    </w:p>
    <w:p>
      <w:r>
        <w:t>VD Tribunal cantonal, 2023-03-06, FR</w:t>
      </w:r>
    </w:p>
    <w:p>
      <w:r>
        <w:rPr>
          <w:b/>
        </w:rPr>
        <w:t xml:space="preserve">Quelle: </w:t>
      </w:r>
      <w:r>
        <w:t>https://mcp.opencaselaw.ch/entscheid/vd_gerichte_PE23.003646</w:t>
      </w:r>
    </w:p>
    <w:p>
      <w:r>
        <w:t>FR: VD_GERICHTE PE23.003646 du 6 mars 2023</w:t>
      </w:r>
    </w:p>
    <w:p>
      <w:r>
        <w:t>IT: VD_GERICHTE PE23.003646 del 6 marzo 2023</w:t>
      </w:r>
    </w:p>
    <w:p>
      <w:pPr>
        <w:pStyle w:val="Heading2"/>
      </w:pPr>
      <w:r>
        <w:t>Erwägungen</w:t>
      </w:r>
    </w:p>
    <w:p>
      <w:r>
        <w:rPr>
          <w:b/>
        </w:rPr>
        <w:t>E. 4.1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1B_176/2022 du 21 avril 2022 consid. 3.1). La gravité de l'infraction dépend, outre de la peine menace prévue par la loi, de la nature du bien juridique menacé et du contexte,</w:t>
      </w:r>
    </w:p>
    <w:p>
      <w:r>
        <w:t>- 7 -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1B_88/2022 du 29 mars 2022 consid. 3.1).</w:t>
      </w:r>
    </w:p>
    <w:p>
      <w:r>
        <w:rPr>
          <w:b/>
        </w:rPr>
        <w:t>E. 4.2</w:t>
      </w:r>
    </w:p>
    <w:p>
      <w:r>
        <w:t>; ATF 132 I 21 consid. 3.2.2 ; TF 1B_536/2018 du 21 décembre 2018 consid. 5.1).</w:t>
      </w:r>
    </w:p>
    <w:p>
      <w:r>
        <w:rPr>
          <w:b/>
        </w:rPr>
        <w:t>E. 5.1</w:t>
      </w:r>
    </w:p>
    <w:p>
      <w:r>
        <w:t>Le recourant conteste également l’existence d’un risque concret de collusion. Il fait valoir que les faits pertinents en lien avec ce qui lui est reproché, à savoir avoir injurié et frappé S.________, sont clairement établis. Il soutient qu’ « on ne peut pas maintenir un prévenu en détention préventive pour établir les circonstances entourant des évènements auxquels il aurait participé, mais qui ne font pas l’objet de poursuites pénales, et qui n’ont pas de lien direct avec les faits qui sont effectivement reprochés au prévenu ».</w:t>
      </w:r>
    </w:p>
    <w:p>
      <w:r>
        <w:rPr>
          <w:b/>
        </w:rPr>
        <w:t>E. 5.2</w:t>
      </w:r>
    </w:p>
    <w:p>
      <w:r>
        <w:t>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1B_536/2018 du 21 décembre 2018 consid. 5.1).</w:t>
      </w:r>
    </w:p>
    <w:p>
      <w:r>
        <w:t>- 10 - Plus l'instruction se trouve à un stade avancé et les faits sont établis avec précision, plus les exigences relatives à la preuve de l'existence d'un risque de collusion sont élevées (ATF 137 IV 122 consid.</w:t>
      </w:r>
    </w:p>
    <w:p>
      <w:r>
        <w:rPr>
          <w:b/>
        </w:rPr>
        <w:t>E. 5.3</w:t>
      </w:r>
    </w:p>
    <w:p>
      <w:r>
        <w:t>En l’occurrence, le prévenu varie dans ses déclarations et donne des versions qui sont contredites par les témoins. A cela s’ajoute qu’il semble avoir fait preuve d’autres actes de violences auparavant. En effet, lors de son audition par la police, le prévenu a indiqué avoir pratiqué le karaté, le kick-boxing et le judo (PV aud. d’arrestation du 24.02.23, l. 175) et que « ce n’est pas la première fois que j’ai mis quelqu’un KO » (PV aud. de Z.________ du 23.02.2023, R. 3), précisant qu’il s’entraînait dans la rue avec un ami à faire du kick boxing et que « le gros punch qu[’il] lui avai[t] mis sur l’oreille lui avait fait perdre connaissance » (ibidem). Par ailleurs, lors de son audition, le témoin [...] a déclaré que la semaine précédant les faits, le prévenu avait frappé sous ses yeux un autre patient, un certain [...] (phonétique) et qu’il lui avait donné un gros coup de poing sur la tête (PV aud. de [...] du 23.02.23, R. 5, p. 4). Il est ainsi nécessaire que le prévenu ne puisse pas prendre contact avec les personnes précitées afin de tenter d’influencer leurs déclarations avant qu’elles ne puissent être entendues, ce qui compromettrait l’instruction. Des mesures d’instruction ont été annoncées par la procureure (extraction du téléphone portable et analyse des données) afin d’identifier et d’entendre la personne que le prévenu se vante avoir frappée au visage au point de lui faire perdre connaissance. Enfin, l’enquête n’en est qu’à ses débuts, les faits reprochés à Z.________ s’étant déroulés le 23 février 2023, soit il y a seulement une quinzaine de jours ; en l’état, le risque de collusion n’a donc pas besoin d’être élevé pour être concret. Au vu de ce qui précède, le risque de collusion s'oppose en l’état à la levée de la détention provisoire du recourant.</w:t>
      </w:r>
    </w:p>
    <w:p>
      <w:r>
        <w:t>- 11 -</w:t>
      </w:r>
    </w:p>
    <w:p>
      <w:r>
        <w:rPr>
          <w:b/>
        </w:rPr>
        <w:t>E. 6</w:t>
      </w:r>
    </w:p>
    <w:p>
      <w:r>
        <w:t>Les conditions de l’art. 221 al. 1 CPP étant alternatives (TF 1B_192/2022 du 12 mai 2022 consid. 4.1.2), l’existence des risques de réitération et de collusion dispense la Chambre de céans d’examiner si la détention provisoire s’impose également en raison d’un risque de fuite.</w:t>
      </w:r>
    </w:p>
    <w:p>
      <w:r>
        <w:rPr>
          <w:b/>
        </w:rPr>
        <w:t>E. 7.1</w:t>
      </w:r>
    </w:p>
    <w:p>
      <w:r>
        <w:t>Le recourant rappelle qu’il est placé à des fins d’assistance, raison pour laquelle il est hospitalisé au CPNVD à Yverdon, et que cet établissement disposerait dans son règlement d’une série de mesures permettant l’isolement d’un patient qui représenterait un danger pour lui- même ou des tiers. Il ferait ainsi déjà l’objet d’une mesure qui permettrait d’atteindre le même but que la détention. Ainsi, il requiert à titre de mesures de substitution son placement en milieux hospitalier fermé, à l’instar duquel il est déjà astreint actuellement, ce qui lui permettrait d’être entouré de professionnels de la santé mentale, ceux-ci étant selon lui mieux à même de le traiter et de juger de son état psychologique.</w:t>
      </w:r>
    </w:p>
    <w:p>
      <w:r>
        <w:rPr>
          <w:b/>
        </w:rPr>
        <w:t>E. 7.2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w:t>
      </w:r>
    </w:p>
    <w:p>
      <w:r>
        <w:t>- 12 - administratif (let. d), l'obligation d'avoir un travail régulier (let. e), l'obligation de se soumettre à un traitement médical ou à des contrôles (let. f) et l'interdiction d'entretenir des relations avec certaines personnes (let. g). Une mesure de substitution ayant les caractéristiques d’une mesure au sens des art. 59 ss CP ne peut pas être ordonnée par le juge de la détention sans que toutes les conditions en soient a priori assurées (TF 1B_171/2019 du 8 mai 2019 consid. 3.1).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2e éd., Bâle 2019, n. 2 ad art. 237 CPP).</w:t>
      </w:r>
    </w:p>
    <w:p>
      <w:r>
        <w:rPr>
          <w:b/>
        </w:rPr>
        <w:t>E. 7.3</w:t>
      </w:r>
    </w:p>
    <w:p>
      <w:r>
        <w:t>En l’espèce, on relèvera d’abord que le recourant ne remplit pas les conditions pour qu’une mesure de substitution ayant les caractéristiques d’une mesure au sens des art. 59 ss CP, soit un traitement ambulatoire (art. 63 CP), voire un placement au sein d’une institution (59 CP), soit ordonnée. Il n’existe aucune expertise psychiatrique qui pose un diagnostic sur l’éventuelle pathologie dont souffrirait le recourant. A fortiori n’y a-t-il pas d’expertise psychiatrique qui se prononce sur le lien entre cette pathologie et les actes dont il est accusé, ni sur le fait qu’une mesure – par exemple sous la forme d’un traitement médical – pourrait le détourner de commettre de tels actes dans le futur. Pour les mêmes motifs, il n’est pas établi que les éventuels troubles dont souffre le recourant ne pourraient pas être pris en charge en détention par le Service de médecine et psychiatrie pénitentiaires. Quant au placement à des fins d’assistance, il ne s’agit pas d’une des mesures envisagées à l’art. 237 CPP. On soulignera qu’un tel placement a pour but d’apporter à la personne concernée l’assistance dont elle a besoin (art. 426 al. 1 CC ; COPMA, Droit de la protection de l’adulte, Guide pratique, 2012, n. 10.5, p. 244). Il n’a pas pour motif la protection d’autrui (ATF 145 III 441 consid. 8.4, JdT 2019 II 371 ; ATF 138 III 593 consid. 3). Son but est</w:t>
      </w:r>
    </w:p>
    <w:p>
      <w:r>
        <w:t>- 13 - donc différent de celui des mesures de substitution de l’art. 237 CPP, qui est de permettre d’atteindre le même but que la détention (cf. art. 237 al. 1 CPP), soit en l’occurrence parer le risque de récidive. Au demeurant, on rappellera que le prévenu a gravement blessé un autre patient de l’hôpital, pour un motif gratuit, patient qui était dans le coma lors de la reddition de l’ordonnance attaquée, et qu’un témoin a déclaré qu’il avait récemment frappé un autre patient d’un coup de poing à la tête. La priorité va à la protection des autres patients et un placement dans une institution de soins les mettrait clairement en danger. A ce stade, il n’existe donc aucune mesure de substitution susceptible de pallier les deux risques retenus, particulièrement le risque de réitération, étant précisé qu’une expertise psychiatrique va très prochainement être mise en œuvre.</w:t>
      </w:r>
    </w:p>
    <w:p>
      <w:r>
        <w:rPr>
          <w:b/>
        </w:rPr>
        <w:t>E. 8</w:t>
      </w:r>
    </w:p>
    <w:p>
      <w:r>
        <w:t>Compte tenu de la gravité des actes reprochés, la peine privative de liberté prévisible concrètement est largement supérieure aux trois mois de détention ordonnés jusqu’au 22 mai 2023. En outre, comme on l’a dit, une expertise psychiatrique va prochainement être mise en œuvre. Selon les délais habituels ni le rapport ni les conclusions orales ne pourront être déposés avant trois mois. Le principe de proportionnalité (art. 212 al. 3 CPP) est par conséquent pleinement respecté.</w:t>
      </w:r>
    </w:p>
    <w:p>
      <w:r>
        <w:rPr>
          <w:b/>
        </w:rPr>
        <w:t>E. 9</w:t>
      </w:r>
    </w:p>
    <w:p>
      <w:r>
        <w:t>Au vu de ce qui précède, le recours, manifestement mal fondé, doit être rejeté sans échange d'écritures (art. 390 al. 2 CPP) et l'ordonnance du 26 février 2023 confirmée. Les frais de la procédure de recours, constitués en l'espèce de l'émolument d'arrêt, par 1’430 fr. (art. 20 al. 1 TFIP [Tarif des frais de procédure et indemnités en matière pénale du 28 septembre 2010 ; BLV 312.03.1]), et des frais imputables à la défense d'office (art. 422 al. 1 et 2 let. a CPP), fixés à 540 fr. sur la base d’une durée d’activité nécessaire d’avocat estimée à 3h00 au tarif horaire de 180 fr., auxquels il convient d’ajouter des débours forfaitaires à concurrence de 2 % (art. 3bis al. 1 RAJ [Règlement sur l’assistance judiciaire en matière civile du 7 décembre</w:t>
      </w:r>
    </w:p>
    <w:p>
      <w:r>
        <w:t>- 14 - 2010 ; BLV 211.02.3], applicable par renvoi de l’art. 26b TFIP), par 10 fr. 80, et la TVA, par 42 fr. 40, soit à 594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est confirmée. III. L’indemnité allouée au défenseur d’office de Z.________ est fixée à 594 fr. (cinq cent nonante-quatre francs). IV. Les frais d’arrêt, par 1’430 fr. (mille quatre cent trente francs), ainsi que l’indemnité due au défenseur d’office de Z.________, par 594 fr. (cinq cent nonante-quatre francs), sont mis à la charge de ce dernier. V. Le remboursement à l’Etat de l’indemnité allouée au chiffre III ci-dessus ne sera exigible que pour autant que la situation financière de Z.________ le permette. VI. L’arrêt est exécutoire. La présidente : La greffière : Du Le présent arrêt, dont la rédaction a été approuvée à huis clos, est notifié, par l'envoi d'une copie complète, à : - Me Raphaël Dessemontet, avocat (pour Z.________), - Ministère public central,</w:t>
      </w:r>
    </w:p>
    <w:p>
      <w:r>
        <w:t>- 15 - et communiqué à : - Mme la Présidente du Tribunal des mesures de contrainte, - Mme la Procureure de l’arrondissement de l’Est vaudois, - Service des curatelles et tutelles professionnelle (Mme [...]), - Mme [...] (pour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