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PE23.003214 vom 6. Februar 2024</w:t>
      </w:r>
    </w:p>
    <w:p>
      <w:r>
        <w:t>VD Tribunal cantonal, 2024-02-06, FR</w:t>
      </w:r>
    </w:p>
    <w:p>
      <w:r>
        <w:rPr>
          <w:b/>
        </w:rPr>
        <w:t xml:space="preserve">Quelle: </w:t>
      </w:r>
      <w:r>
        <w:t>https://mcp.opencaselaw.ch/entscheid/vd_gerichte_PE23.003214</w:t>
      </w:r>
    </w:p>
    <w:p>
      <w:r>
        <w:t>FR: VD_GERICHTE PE23.003214 du 6 février 2024</w:t>
      </w:r>
    </w:p>
    <w:p>
      <w:r>
        <w:t>IT: VD_GERICHTE PE23.003214 del 6 febbraio 2024</w:t>
      </w:r>
    </w:p>
    <w:p>
      <w:pPr>
        <w:pStyle w:val="Heading2"/>
      </w:pPr>
      <w:r>
        <w:t>Erwägungen</w:t>
      </w:r>
    </w:p>
    <w:p>
      <w:r>
        <w:rPr>
          <w:b/>
        </w:rPr>
        <w:t>E. 5.1</w:t>
      </w:r>
    </w:p>
    <w:p>
      <w:r>
        <w:t>Dans un second moyen, l’appelant conteste avoir eu une intention homicide.</w:t>
      </w:r>
    </w:p>
    <w:p>
      <w:r>
        <w:rPr>
          <w:b/>
        </w:rPr>
        <w:t>E. 5.2.1</w:t>
      </w:r>
    </w:p>
    <w:p>
      <w:r>
        <w:t>Aux termes de l'art. 111 CP, se rend coupable de meurtre quiconque tue une personne intentionnellement.</w:t>
      </w:r>
    </w:p>
    <w:p>
      <w:r>
        <w:rPr>
          <w:b/>
        </w:rPr>
        <w:t>E. 5.2.2</w:t>
      </w:r>
    </w:p>
    <w:p>
      <w:r>
        <w:t>Selon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Ces trois formes correspondent à un comportement intentionnel au sens de l'art. 12 al. 2 CP (Dupuis et al. [éd.], Petit Commentaire, Code pénal, 2e éd. 2017, n. 10 ad art. 12 CP et les réf. cit.).</w:t>
      </w:r>
    </w:p>
    <w:p>
      <w:r>
        <w:t>- 23 - Il y a dol éventuel lorsque l'auteur tient pour possible la réalisation de l'infraction et l'accepte au cas où celle-ci se produirait, même s'il ne le souhaite pas (ATF 137 IV 1 consid. 4.2.3, JdT 2011 IV 238 ; ATF 135 IV 152 consid. 2.3.2). Il faut donc qu'il existe un risque qu'un dommage puisse résulter de l'infraction, mais encore que l'auteur sache que ce danger existe et qu'il s'accommode de ce résultat, même s'il préfère l'éviter (ATF 125 IV 242 consid. 3c, JdT 2002 IV 38 ; ATF 119 IV 1 consid. 5a ; TF 6B_246/2012 du 10 juillet 2012 consid. 1.1.1 et les réf. cit.).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[éd.],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éléments extérieurs permettant de décider si l’auteur a agi en s’accommandant du résultat dommageable figurent également la probabilité de la réalisation du risque et la gravité de la violation du devoir de prudence. Plus elles seront élevées et plus sera fondée la conclusion selon laquelle l’auteur s’était accommodé du résultat dommageable (ATF 134 IV 26 consid. 3.2.2, JdT 2009 IV 43). Concernant spécifiquement la notion de dol éventuel en cas d’homicide, celui-ci ne</w:t>
      </w:r>
    </w:p>
    <w:p>
      <w:r>
        <w:t>- 24 - peut être retenu que si d’autres circonstances viennent s’ajouter à l’élément cognitif de l’intention, notamment si l’auteur ne peut pas calculer et doser le risque encouru et si le lésé ne peut pas écarter le danger auquel il est exposé (TF 6B_924/2017 du 14 mars 2018 consid. 1.4 ; Dupuis et al. [éd.], op. cit., n. 16 ad art. 12 CP et la jurisprudence citée). Selon sa nature, un seul coup porté peut suffire pour retenir l'infraction de tentative d'homicide par dol éventuel (TF 6B_924/2017 précité consid. 1.4.2). Il peut également être tenu compte des mobiles et de la manière de procéder de l'auteur (ATF 135 IV 12 consid. 2.3.3 ; ATF 133 IV</w:t>
      </w:r>
    </w:p>
    <w:p>
      <w:r>
        <w:rPr>
          <w:b/>
        </w:rPr>
        <w:t>E. 5.2.3</w:t>
      </w:r>
    </w:p>
    <w:p>
      <w:r>
        <w:t>Au sens de l’art. 22 al. 1 CP, il y a tentative lorsque l'auteur a réalisé tous les éléments subjectifs de l'infraction et manifesté sa décision de la commettre, alors que les éléments objectifs font, en tout ou en partie, défaut (ATF 140 IV 150 consid. 3.4, JdT 2015 IV 114 ; TF 6B_418/2021 précité consid. 3.2.2). Il y a donc tentative de meurtre lorsque l'auteur, agissant intentionnellement, commence l'exécution de cette infraction, manifestant ainsi sa décision de la commettre, sans que le résultat ne se produise (TF 6B_418/2021 précité ; TF 6B_1142/2020 du</w:t>
      </w:r>
    </w:p>
    <w:p>
      <w:r>
        <w:rPr>
          <w:b/>
        </w:rPr>
        <w:t>E. 5.3</w:t>
      </w:r>
    </w:p>
    <w:p>
      <w:r>
        <w:t>En l’espèce, l’intention homicide ne fait aucun doute. L’appelant a non seulement clairement exprimé sa volonté (« je vais te tuer », cf. consid. 3.3.1 supra). Il s’est surtout acharné sur son épouse, lui assénant un coup de poing au visage, puis la rouant de coups de poing au niveau de la tête une fois qu’elle était au sol, avant de la frapper plusieurs fois à la tête et au visage avec une chaussure renforcée dont il reconnaît lui-même qu’elle est dangereuse. Sous la violence des coups, l’empreinte de la chaussure utilisée s’est imprimée sur la peau de la victime. L’appelant a également saisi son épouse au cou avec ses deux mains et l’a étranglée. Les zones ciblées – tête, visage et cou – sont toutes vitales. Il a essayé de faire entrer sa femme dans le logement de force, pour que les voisins n’entendent pas leur dispute (PV audience d’appel, p. 3). II ne pouvait échapper à l’appelant, doué de conscience et de volonté, que les coups violents portés à la tête et au visage, de même que la violence</w:t>
      </w:r>
    </w:p>
    <w:p>
      <w:r>
        <w:t>- 25 - exercée sur la face antérieure du cou de la victime, pouvaient lui être fatals. Il a tout de même agi, s’accommodant de ce résultat, qui ne s’est toutefois pas produit, grâce à l’intervention de la police, contactée par le voisinage qui avait entendu les appels à l’aide de la victime restée sur le balcon. La tentative de meurtre doit être retenue. 6. 6.1 L’appelant ne conteste pas en tant que telle la peine privative de liberté, qui doit néanmoins être revue d’office.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6.2.2 Aux termes de l'art. 49 CP, si, en raison d'un ou de plusieurs actes, l'auteur remplit les conditions de plusieurs peines de même genre,</w:t>
      </w:r>
    </w:p>
    <w:p>
      <w:r>
        <w:t>- 26 -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 ; ATF 144 IV 217 consid. 2.2). 6.3 Appréciant la culpabilité de A.X.________, les premiers juges l’ont qualifiée de lourde. Ils ont notamment souligné qu’il avait agi en tyran domestique, épiant sa femme, lui reprochant de voir des amies et la coupant de toutes relations sociales par jalousie. Lorsqu’il avait compris que son épouse était résolue à une séparation, il avait préféré tenter de la tuer plutôt que de supporter qu’elle lui échappe et qu’elle enfreigne son code d’honneur. Il n’avait fait preuve d’aucune prise de conscience, rejetant la faute sur son épouse. Cela était d’autant plus inquiétant qu’il</w:t>
      </w:r>
    </w:p>
    <w:p>
      <w:r>
        <w:t>- 27 - avait déjà été condamné aux Etats-Unis pour des violences conjugales, sentence qui n’avait manifestement eu aucun effet sur son attitude à l’égard des femmes, en particulier de la sienne. Il avait tenté depuis la prison de faire influencer son épouse par sa famille dans le but d’obtenir un retrait de plainte. Le concours d’infraction devait également être retenu à charge. Les premiers juges ne voyaient aucun élément à décharge. Les éléments de la culpabilité développés par les premiers juges sont adéquats et peuvent être confirmés par adoption de motifs (art. 82 al. 4 CPP ; jugement querellé, pp. 57-58). On ajoutera qu’aux débats d’appel l’appelant est encore revenu sur ses déclarations. En effet, alors qu’il avait admis, le 16 février 2023, avoir « perdu la maîtrise » et avoir frappé sa femme avec ses poings, lui donnant des coups « partout sur son corps », aux débats d’appel il a prétendu lui avoir uniquement donné une claque et un seul coup avec la chaussure renforcée, soit deux coups en tout. Il a à nouveau minimisé les faits, a prétendu que sa femme s’était tapée elle-même avec la chaussure litigieuse et l’a accusée de « jouer avec lui » et de le provoquer. Ainsi, l’absence totale de prise de conscience demeure. L’appelant s’est rendu coupable de tentative de meurtre, de trois cas de menaces qualifiées, de deux cas de tentatives de menaces qualifiées, d’un cas de lésions corporelles simples qualifiées, d’un cas d’injure ainsi que d’un cas de voies de fait qualifiées. A l’égard d’un appelant qui a déjà été condamné pour des faits similaires aux Etats-Unis, qui a multiplié les infractions à l’encontre de son épouse et qui persiste à contester sa culpabilité et à ne pas comprendre en quoi son comportement n’est pas compatible avec l’ordre juridique suisse, la prévention spéciale impose la privation de liberté comme choix de peine pour les infractions passibles d’une telle sanction (art. 41 al. 1 let. a CP).</w:t>
      </w:r>
    </w:p>
    <w:p>
      <w:r>
        <w:t>- 28 - L’infraction la plus grave est la tentative de meurtre. Elle doit être réprimée par cinq ans de peine privative de liberté. S’y ajoutent trois mois pour les trois cas de menaces qualifiées, un mois pour les deux tentatives de menaces qualifiées et deux mois pour les lésions corporelles simples qualifiées. Partant, la peine privative de liberté de soixante-six mois prononcée par l’autorité précédente est adéquate. Cette peine n’est pas compatible avec le sursis, même partiel. L’injure doit quant à elle être sanctionnée d’une peine pécuniaire, soixante jours-amende à 30 fr. le jour paraissant appropriés. Les voies de fait doivent être sanctionnés d’une amende, le montant de 1’000 fr. pouvant être considéré comme approprié. 7. 7.1 L’appelant considère que le montant de 12’000 fr. alloué à la victime à titre de tort moral est excessif. 7.2 En vertu de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 7.3 En l’espèce, il ressort des pièces au dossier que l’intimée souffre depuis son agression et en lien avec celle-ci d’un état de stress post-traumatique impactant fortement son fonctionnement dans les</w:t>
      </w:r>
    </w:p>
    <w:p>
      <w:r>
        <w:t>- 29 - domaines personnels, social et professionnel. Elle a été adressée à une infirmière en psychiatrie et santé mentale par la LAVI, le 22 février 2023. A une occasion, le 28 avril 2023, elle a présenté cliniquement un risque de passage à l’acte suicidaire élevé ; elle a alors été prise en charge et bénéficié d’une médication, d’une thérapie EMDR (désensibilisation et retraitement par les mouvements oculaires), d’un suivi psychiatrique à la Fondation de Nant (P. 53 et P. 79/2/1) ainsi que d’un suivi psychothérapeutique (P. 79/2/2). Le 27 novembre 2023, la cheffe de clinique adjointe de la Fondation de Nant diagnostiquait, en ce qui concerne l’intimée, un épisode dépressif sévère sans symptômes psychotiques, qui s’ajoutait au stress post-traumatique. Le 9 décembre 2023, l’infirmière en psychiatrie et santé mentale qui assurait le suivi de l’intimée attestait que l’état de sa patiente restait très fragile, tant d’un point de vue psychologique que physique. Les symptômes d’hypervigilance, de peurs, d’évitement de certaines situations ou lieux (dont le balcon), de perte d’appétit, d’insomnies ainsi que certains symptômes dépressifs tels que la rumination, le sentiment de culpabilité et la perte d’espoir persistaient (P. 79/2/3). Au vu de l’ensemble de ces éléments, le tort moral alloué, de 15'000 fr., n’apparait nullement excessif. 8. En définitive, l’appel doit être rejeté et le jugement querellé confirmé. Me Justine Sottas, conseil juridique gratuit de B.X.________, a produit une liste d’opérations dans laquelle elle indique une activité nécessaire d’avocat de 9h25, ce qui est adéquat, sous réserve de la durée surévaluée de l’audience d’appel, qui sera réduite d’une heure. L’indemnité de défenseur d’office doit ainsi être fixée à 1’695 fr., montant auquel il convient d’ajouter des débours forfaitaires à concurrence de 2 % (et non 5 %) des honoraires admis (art. 19 al. 2 TDC, applicable par renvoi de l’art. 26a al. 6 TFIP), par 33 fr. 90, une vacation à 120 fr. et la TVA à 8,1 %, par 149 fr. 75, soit à un total de 1'998 fr. 65, TVA et débours inclus.</w:t>
      </w:r>
    </w:p>
    <w:p>
      <w:r>
        <w:t>- 30 - Me Anna D. Vladau, défenseure d’office de A.X.________, a produit une liste d’opérations dans laquelle elle indique une activité nécessaire d’avocat de 21h55 et d’avocat-stagiaire de 20h56, ce qui apparait largement excessif. Au vu de la nature de l’affaire et de la déclaration d’appel, les activités des deux avocats-stagiaires seront arrêtées à 8 heures au total. 9h25 seront en outre comptabilisées pour l’activité de l’avocate, étant précisé que la formation des stagiaires n’a pas à être indemnisée. L’indemnité de défenseur d’office sera dès lors fixée à 2'575 fr. ([9h25 x 180 fr.] + [8h x 110 fr.]), plus des débours forfaitaires, par 51 fr. 50, deux vacations à 120 fr. et la TVA à 8,1 %, par 232 fr. 20, soit à un total de 3'098 fr. 70, TVA et débours inclus. Vu l’issue de la cause, les frais de la procédure d’appel, constitués de l’émolument de jugement et d’audience, par 2’900 fr. (art. 21 al. 1 et 2 TFIP [tarif des frais de procédure et indemnités en matière pénale du 28 septembre 2010 ; BLV 312.03.1]), et des indemnités dues au défenseur d’office et au conseil juridique gratuit, par 5'097 fr. 35 (1'998 fr. 65 + 3'098 fr. 70), soit au total 7’997 fr. 35, seront mis à la charge de A.X.________, qui succombe (art. 428 al. 1 CPP). A.X.________ sera tenu de rembourser à l’Etat les indemnités en faveur de son défenseur d’office et du conseil juridique gratuit dès que sa situation financière le permettra.</w:t>
      </w:r>
    </w:p>
    <w:p>
      <w:r>
        <w:rPr>
          <w:b/>
        </w:rPr>
        <w:t>E. 9</w:t>
      </w:r>
    </w:p>
    <w:p>
      <w:r>
        <w:t>consid. 4.1 ; ATF 130 IV 58 consid. 8.4 ; ATF 125 IV 242 consid. 3c).</w:t>
      </w:r>
    </w:p>
    <w:p>
      <w:r>
        <w:rPr>
          <w:b/>
        </w:rPr>
        <w:t>E. 12</w:t>
      </w:r>
    </w:p>
    <w:p>
      <w:r>
        <w:t>mai 2021 consid. 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