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PE23.002969 vom 11. März 2025</w:t>
      </w:r>
    </w:p>
    <w:p>
      <w:r>
        <w:t>VD Tribunal cantonal, 2025-03-11, FR</w:t>
      </w:r>
    </w:p>
    <w:p>
      <w:r>
        <w:rPr>
          <w:b/>
        </w:rPr>
        <w:t xml:space="preserve">Quelle: </w:t>
      </w:r>
      <w:r>
        <w:t>https://mcp.opencaselaw.ch/entscheid/vd_gerichte_PE23.002969</w:t>
      </w:r>
    </w:p>
    <w:p>
      <w:r>
        <w:t>FR: VD_GERICHTE PE23.002969 du 11 mars 2025</w:t>
      </w:r>
    </w:p>
    <w:p>
      <w:r>
        <w:t>IT: VD_GERICHTE PE23.002969 del 11 marzo 2025</w:t>
      </w:r>
    </w:p>
    <w:p>
      <w:pPr>
        <w:pStyle w:val="Heading2"/>
      </w:pPr>
      <w:r>
        <w:t>Erwägungen</w:t>
      </w:r>
    </w:p>
    <w:p>
      <w:r>
        <w:rPr>
          <w:b/>
        </w:rPr>
        <w:t>E. 1</w:t>
      </w:r>
    </w:p>
    <w:p>
      <w:r>
        <w:t>- 11 -</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6 janvier 2025/1 consid. 1.1 ; CREP 23 mai 2024/390 consid. 1.1 ; CREP 8 avril 2024/248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a été déposé par voie électronique sur la plateforme IncaMail. Il est muni de la signature électronique qualifiée du conseil du recourant. Selon l’art. 110 al. 2 CPP, en cas de transmission électronique, la requête doit être munie de la signature électronique qualifiée de l’expéditeur au sens de la loi du 18 mars 2016 sur la signature électronique (SCSE ; RS 943.03). Le Conseil fédéral a par ailleurs réglé les conditions de validité de transfert des actes judiciaires par le biais d’une plateforme électronique dans l'ordonnance sur la communication électronique dans le cadre de procédures civiles et pénales et de procédures en matière de poursuite pour dettes et faillites (OCEI-PCPP ; RS 272.1).</w:t>
      </w:r>
    </w:p>
    <w:p>
      <w:r>
        <w:t>- 12 - La plateforme IncaMail de la Poste suisse fait partie des plateformes agréées par le Département fédéral de justice et police (ci- après : DFJP) le 19 mai 2016 au sens de l’ordonnance du 16 septembre 2014 sur la reconnaissance des plateformes de messagerie sécurisée utilisées dans le cadre de procédures (RS 272.11). De même, la signature électronique qualifiée a été apposée via Skribble, entreprise partenaire de Swisscom AG, entreprise suisse reconnue par le DFJP comme fournisseur de service de certification (CSP) et conforme aux exigences posées par la SCSE et l’ordonnance sur la signature électronique du 23 novembre 2016 (RS 943.032). Interjeté en temps utile, auprès de l’autorité compétente et dans les formes prescrites (art. 385 al. 1 CPP), par le prévenu qui a qualité pour recourir (art. 382 al. 1 CPP), le recours est recevable. Il en va de même des pièces nouvelles produites.</w:t>
      </w:r>
    </w:p>
    <w:p>
      <w:r>
        <w:rPr>
          <w:b/>
        </w:rPr>
        <w:t>E. 2.1</w:t>
      </w:r>
    </w:p>
    <w:p>
      <w:r>
        <w:t>En vertu de l’art. 228 al. 1 CPP, le prévenu peut présenter en tout temps une demande de libération de la détention provisoire. Cette demande doit être admise si les conditions de la détention provisoire ne sont pas ou plus remplies.</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w:t>
      </w:r>
    </w:p>
    <w:p>
      <w:r>
        <w:t>- 13 -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w:t>
      </w:r>
    </w:p>
    <w:p>
      <w:r>
        <w:rPr>
          <w:b/>
        </w:rPr>
        <w:t>E. 3.1</w:t>
      </w:r>
    </w:p>
    <w:p>
      <w:r>
        <w:t>Le recourant fait valoir que les soupçons de culpabilité à son encontre ne suffiraient plus à justifier son maintien en détention provisoire. Il expose qu’il ressortirait des rapports finaux de la police, versés au dossier le 19 décembre 2024, que ses déclarations auraient été confirmées et soutient que les soupçons initiaux portés à son encontre ne se seraient pas renforcés, mais auraient au contraire disparu après dix- huit mois d’enquête. Il fait en substance valoir qu’il ignorait, en intervenant comme électricien dans le hangar de [...], que du cannabis y était cultivé illégalement, ce d’autant plus que des collaborateurs de la [...] auraient également effectué plusieurs visites du site, ce qui l’aurait mis en « totale confiance ». Le recourant soutient par ailleurs qu’il ignorait tout des stupéfiants retrouvés dans sa voiture lors de son arrestation. Il répète qu’N.________ aurait entreposé un sac à l’arrière de son véhicule peu avant son interpellation, ce qui aurait pu être démontré par l’analyse des caméras de vidéosurveillance du local de [...] et de la station-service Migrolino, enregistrements qui n’ont toutefois pas été recueillis malgré ses demandes réitérées en ce sens. Il relève l’absence de traces de son ADN sur le sac contenant les stupéfiants ou sur la drogue, alors que les traces ADN d’autres prévenus auraient été découvertes sur les stupéfiants, et rappelle que les analyses ADN n’auraient pas porté sur N.________ notamment. Il fait par ailleurs valoir qu’il n’était que le passager du véhicule qui avait opéré un demi-tour à la vue de la police au local de [...], de sorte que cette manœuvre ne pourrait pas lui être imputée, et rappelle qu’il lui aurait été loisible de repartir directement en France en apprenant</w:t>
      </w:r>
    </w:p>
    <w:p>
      <w:r>
        <w:t>- 14 - que la police s’était rendue au domicile de L.________ s’il avait eu quelque chose à se reprocher, ce qu’il n’avait pas fait. Le recourant soutient enfin que les messages retrouvés dans son téléphone – connus depuis près d’un an – ne permettraient pas de renforcer les soupçons pesant sur lui, notamment le terme « PDG » qu’il avait utilisé pour désigner L.________, qui serait banal dès lors que le prénommé était effectivement son employeur. Quant à l’expression « chef du cartel », elle ne constituait pas un indice de sa connaissance de l’illégalité de la culture, mais était une boutade d’autant plus drôle qu’il était convaincu de travailler dans une culture de CBD. Le mot « came » – qui se référait au demeurant à du matériel et non à des stupéfiants – avait pour sa part été utilisé par G.________ et ne pouvait en tout état de cause pas être retenu à sa charge. Il fait au demeurant valoir que s’ils avaient su qu’ils faisaient partie d’une organisation criminelle, ils auraient privilégié des termes ne prêtant pas à confusion, de sorte que les mots utilisés démontreraient qu’ils étaient convaincus de travailler dans une culture parfaitement légale. Il relève enfin que certains messages auraient été échangés via Whatsapp et non sur l’application chiffrée Signal, ce qui démontrerait qu’il ne s’agissait que de simples messages entre collègues. Le recourant observe par ailleurs que l’absence de contrat de travail écrit et sa rémunération en cash seraient parfaitement cohérents avec son absence d’autorisation de travailler en Suisse et ne permettraient pas d’inférer qu’il savait travailler dans une culture illégale. Il relève à cet égard qu’il avait du reste entrepris des démarches pour régulariser sa situation professionnelle et se réfère à un courriel de l’Office cantonal de la population et des migrations qui atteste de sa demande de permis frontalier. En conclusion, il fait valoir que les soupçons invoqués par le Tribunal des mesures de contrainte existaient déjà au moment de son arrestation et que les mesures d’instruction mises en œuvre n’auraient fourni aucun résultat tangible permettant de les étayer.</w:t>
      </w:r>
    </w:p>
    <w:p>
      <w:r>
        <w:rPr>
          <w:b/>
        </w:rPr>
        <w:t>E. 3.2</w:t>
      </w:r>
    </w:p>
    <w:p>
      <w:r>
        <w:t>La mise en détention provisoire et, a fortiori, le maintien en détention, n'est possible que s'il existe à l'égard de l'auteur présumé, et préalablement à toute autre cause, de graves soupçons de culpabilité d'avoir commis un crime ou un délit (ATF 139 IV 186 consid. 2 ; Chaix, in :</w:t>
      </w:r>
    </w:p>
    <w:p>
      <w:r>
        <w:t>- 15 - Jeanneret et al. [éd.], Commentaire romand, Code de procédure pénale suisse, 2e éd., Bâle 2019 [ci-après : CR CPP], nn. 4 ss ad art. 221 CPP).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7B_1013/2023 du 9 janvier 2024 consid. 3.2.1 et les arrêts cités).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316 consid. 3.1 et 3.2 ; ATF 143 IV 330 consid. 2.1 ; TF 7B_33/2025 du 28 janvier 2025 consid. 5.2). Il en va de même pour les autorités de recours appelées à se prononcer sur la légalité d'une décision de maintien en détention provisoire ou pour des motifs de sûreté (ATF 137 IV 122 consid. 3.2 ; ATF 124 I 208 consid. 3 ; TF 1B_308/2018 du 17 juillet 2018 consid. 2.1).</w:t>
      </w:r>
    </w:p>
    <w:p>
      <w:r>
        <w:rPr>
          <w:b/>
        </w:rPr>
        <w:t>E. 3.3</w:t>
      </w:r>
    </w:p>
    <w:p>
      <w:r>
        <w:t>Le recourant, qui plaide son innocence, perd une fois encore de vue qu’il n’appartient pas au juge de la détention de soupeser tous les éléments à charge et à décharge pour se forger une conviction, mais uniquement d’examiner s’il existe de forts soupçons de commission d’une infraction. Or, pour les motifs pertinents retenus par le Tribunal des mesures de contrainte dans l’ordonnance entreprise, tel est manifestement encore le cas en l’espèce. En effet, on rappellera que le</w:t>
      </w:r>
    </w:p>
    <w:p>
      <w:r>
        <w:t>- 16 - recourant a été interpellé seul à bord d’une voiture avec un sac contenant de très importantes quantités de produits stupéfiants en tous genres, laquelle était auparavant stationnée à [...], à côté d’un dépôt loué par L.________ et dans lequel des produits stupéfiants ont également été découverts. En outre, le recourant se trouvait un peu plus tôt dans un autre véhicule qui a fait demi-tour à la vue de la police opérant une perquisition dans les locaux de l’ancienne fabrique de [...] de [...]. Quand bien même il n’était pas le conducteur de ce dernier véhicule, le recourant ne prétend pas s’être opposé à la manœuvre de fuite et s’est bien gardé de retourner sur les lieux une fois son propre véhicule récupéré. Par ailleurs, quoi qu’en dise le recourant et comme déjà relevé dans le précédent arrêt rendu par la Chambre de céans, l’emploi par G.________ du mot « came » dans un message qui lui était destiné (« va pas chercher le matos frerot, L.________ ira lui dans l’aprem, il faut qu’il paie comptant pour récupérer la came [sic] ») constitue un indice supplémentaire qu’il savait pertinemment que la culture en cause était illégale, qui plus est au regard du contenu du message que le recourant a lui-même adressé au prénommé, dans lequel il a décrit son ami d’enfance L.________, avec lequel il entretenait une relation de confiance, comme le chef du « cartel ». Le fait que d’autres électriciens – qui n’étaient pas membres du groupe de discussion sur Signal et n’entretenaient pas de relation d’amitié avec L.________ – se soient également rendus sur les lieux ne saurait amoindrir ce soupçon. L’absence de contrat de travail et le paiement d’une avance de 5'000 fr. en cash constituent également des indices de la connaissance, par le recourant, de l’illégalité de son activité, ce d’autant plus que sa situation au regard du droit des étrangers avait été régularisée. Compte tenu de ce qui précède, des motifs objectifs de soupçonner le recourant d’avoir participé en toute connaissance de cause à un important trafic de stupéfiants demeurent. Le fait que son profil ADN n’ait pas été retrouvé sur les stupéfiants et leurs contenants découverts dans son véhicule ne suffit pas pour retenir que la perspective d'une condamnation du recourant n’apparaitrait plus vraisemblable, dès lors que</w:t>
      </w:r>
    </w:p>
    <w:p>
      <w:r>
        <w:t>- 17 - l’ensemble des autres éléments décrits ci-dessus démontrent qu’il ne pouvait ignorer qu’il œuvrait dans une culture de cannabis illégale. C’est donc à juste titre que le Tribunal des mesures de contrainte a retenu qu’il existait à ce stade encore suffisamment d’éléments pour considérer que l’exigence de forts soupçons de la commission d’un crime ou d’un délit demeurait remplie. On ne distingue à cet égard aucune constatation fausse ou incomplète des faits. Mal fondés, les arguments du recourant doivent dès lors être rejetés.</w:t>
      </w:r>
    </w:p>
    <w:p>
      <w:r>
        <w:rPr>
          <w:b/>
        </w:rPr>
        <w:t>E. 4.1</w:t>
      </w:r>
    </w:p>
    <w:p>
      <w:r>
        <w:t>Le recourant conteste les risques de fuite et de collusion retenus par le premier juge. S’agissant du risque de fuite, il relève que bon nombre de ses coprévenus, également domiciliés en France, n’auraient jamais été détenus dans le cadre de la présente cause et reproche au premier juge une différence de traitement, au motif qu’il ne présenterait pas un risque de fuite plus important que ses comparses. Quant au risque de collusion, il relève que ses déclarations n’auraient pas varié et qu’elles ne seraient pas contredites par ses coprévenus, de sorte qu’il n’aurait aucun intérêt à faire pression sur qui que ce soit, qui plus est à ce stade avancé des investigations.</w:t>
      </w:r>
    </w:p>
    <w:p>
      <w:r>
        <w:rPr>
          <w:b/>
        </w:rPr>
        <w:t>E. 4.2.1</w:t>
      </w:r>
    </w:p>
    <w:p>
      <w:r>
        <w:t>Conformément à l'art. 221 al. 1 let. a CPP, la détention provisoire et la détention pour des motifs de sûreté peuvent être ordonnées s'il y a sérieusement lieu de craindre que le prévenu se soustraie à la procédure pénale ou à la sanction prévisible en prenant la fuite. D'après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w:t>
      </w:r>
    </w:p>
    <w:p>
      <w:r>
        <w:t>- 18 -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TF 7B_1009/2023 du 6 février 2024 consid. 5.2 ; TF 7B_1011/2023 du 11 janvier 2024 consid. 4.1 et les références citées). Le risque de fuite s'étend également au risque de se soustraire à la procédure pénale ou à la sanction prévisible en tombant dans la clandestinité à l'intérieur du pays (ATF 143 IV 160 consid. 4.3, JdT 2018 IV 3 ; TF 1B_574/2020 du 3 décembre 2020 consid. 5.3.1 ; TF 1B_549/2020 du 9 novembre 2020 consid. 3.1).</w:t>
      </w:r>
    </w:p>
    <w:p>
      <w:r>
        <w:rPr>
          <w:b/>
        </w:rPr>
        <w:t>E. 4.2.2</w:t>
      </w:r>
    </w:p>
    <w:p>
      <w:r>
        <w:t>Le motif de détention pour risque de collusion au sens l’art. 221 al. 1 let. b CPP est réalisé lorsqu’il est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(ATF 137 IV 122 précité consid. 6.2 et 6.4 ; Chaix, in : CR CPP, op. cit., n. 13 ad art. 221 CPP).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w:t>
      </w:r>
    </w:p>
    <w:p>
      <w:r>
        <w:t>- 19 - dans l’infraction ainsi que ses liens avec les autres prévenus ; entrent aussi en considération la nature et l’importance des déclarations, respectivement des moyens de preuve susceptibles d’être menacés, la gravité des infractions en cause et le stade de la procédure (ATF 137 IV 122 précité consid. 4.2 ; ATF 132 I 21 consid. 3.2 ; TF 1B_210/2023 du 12 mai 2023 consid. 4.1). Plus l'instruction se trouve à un stade avancé et les faits sont établis avec précision, plus les exigences relatives à la preuve de l'existence d'un risque de collusion sont élevées (ATF 137 IV 122 précité ; ATF 132 I 21 précité consid. 3.2.2 ; TF 1B_687/2021 du 11 janvier 2022 consid. 4.1).</w:t>
      </w:r>
    </w:p>
    <w:p>
      <w:r>
        <w:rPr>
          <w:b/>
        </w:rPr>
        <w:t>E. 4.3</w:t>
      </w:r>
    </w:p>
    <w:p>
      <w:r>
        <w:t>En l’espèce, c’est en vain que le recourant persiste à contester l’existence d’un risque de fuite, sans apporter d’élément nouveau à cet égard. En effet, même s’il bénéficie d’un permis frontalier, le recourant, de nationalité française, est né, a grandi et a vécu toute sa vie en France, pays où résident son père et son épouse, qu’il a au demeurant dit vouloir retrouver compte tenu de leur projet de fécondation in vitro. Il n’a aucune famille ni aucune autre attache en Suisse. Pour le surplus, le recourant se borne à invoquer une différence de traitement d’avec ses coprévenus, mais n’expose pas en quoi la situation de ceux-ci serait identique à la sienne. Or, comme elle l’a relevé dans son précédent arrêt, il n’appartient pas à la Chambre de céans de formuler des hypothèses sur les motifs qui ont amené le Ministère public à renoncer à requérir la détention provisoire de certains de ses coprévenus, mais uniquement d’examiner la situation individuelle du recourant. A cet égard, compte tenu de son absence d’attache en Suisse et de l’importante peine privative de liberté qui pourrait être prononcée à son encontre, on ne peut que craindre qu’il cherche à quitter le territoire helvétique, par exemple pour retourner en France, pays qui n’extrade pas ses ressortissants, ou qu’il disparaisse dans la clandestinité pour échapper aux poursuites pénales, ce d’autant plus qu’au vu des charges pesant sur lui, il s’expose en sus à une expulsion judiciaire. Le risque de fuite demeure donc concret.</w:t>
      </w:r>
    </w:p>
    <w:p>
      <w:r>
        <w:t>- 20 -</w:t>
      </w:r>
    </w:p>
    <w:p>
      <w:r>
        <w:rPr>
          <w:b/>
        </w:rPr>
        <w:t>E. 4.4</w:t>
      </w:r>
    </w:p>
    <w:p>
      <w:r>
        <w:t>Les hypothèses prévues par l'art. 221 al. 1 CPP étant alternatives et non cumulatives (TF 7B_390/2023 du 17 août 2023 consid. 3.4.3 ; TF 1B_192/2022 du 12 mai 2022 consid. 4.1.2 ; TF 1B_195/2022 du 3 mai 2022 consid. 2.2.1), l’existence d’un risque de fuite suffit à justifier le maintien en détention provisoire du recourant et dispense la Chambre de céans d’examiner les arguments relatifs aux risques de collusion et de réitération invoqués par le Ministère public. Cela étant, comme l’a retenu à bon escient le Tribunal des mesures de contrainte, force est de constater que le risque de collusion demeure également concret malgré le stade avancé de la procédure, dès lors que le recourant prétend désormais qu’il aurait vu N.________ déposer un sac à l’arrière de son véhicule, alors qu’il avait dans un premier temps affirmé ne pas l’avoir vu amener de sac. Les auditions récapitulatives des prévenus n’ayant pas encore eu lieu, il importe d’éviter que le recourant mette à profit sa liberté pour interférer dans l’instruction en cours, en particulier en contactant ses comparses afin d’accorder leur version des faits, étant rappelé que le motif de détention au sens de l’art. 221 al. 1 let. b CPP tend avant tout à assurer le bon déroulement de l’instruction et qu’il peut être retenu jusqu’aux débats de première instance, voire au-delà en cas d’appel.</w:t>
      </w:r>
    </w:p>
    <w:p>
      <w:r>
        <w:rPr>
          <w:b/>
        </w:rPr>
        <w:t>E. 5.1</w:t>
      </w:r>
    </w:p>
    <w:p>
      <w:r>
        <w:t>Invoquant une violation des art. 212 al. 3 CPP et 31 al. 3 Cst. (Constitution fédérale de la Confédération suisse du 18 avril 1999 ; RS 101), le recourant fait valoir qu’il ne pourrait pas être condamné pour infraction à la loi fédérale sur les stupéfiants, dès lors qu’il ignorait que la culture de cannabis pour laquelle il travaillait était illégale et qu’il n’avait aucune intention de détenir des stupéfiants ; la durée de sa détention provisoire serait ainsi excessive. Il soutient en outre qu’une éventuelle condamnation pour exercice d’une activité lucrative sans autorisation ne justifierait pas sa détention provisoire pour une durée de dix-huit mois, ni a fortiori sa prolongation pour trois mois supplémentaires.</w:t>
      </w:r>
    </w:p>
    <w:p>
      <w:r>
        <w:t>- 21 -</w:t>
      </w:r>
    </w:p>
    <w:p>
      <w:r>
        <w:rPr>
          <w:b/>
        </w:rPr>
        <w:t>E. 5.2</w:t>
      </w:r>
    </w:p>
    <w:p>
      <w:r>
        <w:t>En vertu des art. 31 al. 3 Cst. et 5 § 3 CEDH (Convention de sauvegarde des droits de l’homme et des libertés fondamentales du 4 novembre 1950 ; RS 0.101),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(Code pénal suisse du 21 décembre 1937 ; RS 311.0) (ATF 145 IV 179 consid. 3.1 et les arrêts cités, JdT 2020 IV 3 ; TF 1B_13/2022 du 3 février 2022 consid. 5.1). Selon la jurisprudence, le principe de la proportionnalité impose aux autorités pénales, lors du contrôle de la durée de la détention avant jugement, d'être d'autant plus prudentes lorsque la durée de cette mesure s'approche de celle de la peine privative de liberté encourue ; le rapport entre la durée de la détention déjà subie et celle encourue n'est en tout cas pas seul déterminant (ATF 145 IV 179 précité consid. 3.5 ; TF 1B_158/2021 du 20 avril 2021 consid. 2.1).</w:t>
      </w:r>
    </w:p>
    <w:p>
      <w:r>
        <w:rPr>
          <w:b/>
        </w:rPr>
        <w:t>E. 5.3</w:t>
      </w:r>
    </w:p>
    <w:p>
      <w:r>
        <w:t>En l’espèce, s’il peut être donné acte au recourant que son éventuelle condamnation pour exercice d’une activité lucrative sans autorisation ne justifierait pas son maintien en détention provisoire à ce stade, il convient de rappeler qu’il est également soupçonné d’infraction grave à la loi fédérale sur les stupéfiants – infraction passible d’une peine privative de liberté d’un an au moins (cf. art. 19 al. 1 et 2 LStup) – pour avoir été interpellé en possession de 1'150 grammes bruts de cocaïne, de 3'180 grammes bruts de marijuana, de 5'840 grammes bruts de haschich et de 300 grammes bruts d’ecstasy, ainsi que pour avoir pris part à un trafic de stupéfiants portant notamment sur plusieurs centaines de</w:t>
      </w:r>
    </w:p>
    <w:p>
      <w:r>
        <w:t>- 22 - kilogrammes de pollen de cannabis et de marijuana. Au regard des quantités en cause et de la gravité des faits qui lui sont reprochés, force est de constater que le recourant s’expose, quoi qu’il en pense, à une peine d’une durée nettement supérieure à la période de détention qu’il a subie à ce jour, respectivement qu’il aura subie le 8 mai 2025. La détention provisoire demeure donc proportionnée au regard de la peine encourue concrètement en cas de condamnation (art. 212 al. 3 CPP). Enfin, la durée de la prolongation, de trois mois, n’apparaît pas exagérée pour permettre au Ministère public de procéder aux auditions récapitulatives de l’ensemble des prévenus et de renvoyer la cause en jugement.</w:t>
      </w:r>
    </w:p>
    <w:p>
      <w:r>
        <w:rPr>
          <w:b/>
        </w:rPr>
        <w:t>E. 6</w:t>
      </w:r>
    </w:p>
    <w:p>
      <w:r>
        <w:t>novembre 2023 consid. 2.3.1 ; TF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7B_371/2024 précité ; TF 7B_778/2023 précité ; TF 7B_645/2023 précité).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(TF 7B_371/2024 précité ; TF 7B_1009/2023 du 6 février 2024 consid. 6.2.1 ; TF 7B_778/2023 précité ; TF 1B_291/2023 du 16 juin 2023 consid. 5.3 et les références citées).</w:t>
      </w:r>
    </w:p>
    <w:p>
      <w:r>
        <w:rPr>
          <w:b/>
        </w:rPr>
        <w:t>E. 6.1</w:t>
      </w:r>
    </w:p>
    <w:p>
      <w:r>
        <w:t>Le recourant soutient, dans ses conclusions subsidiaires, que le prononcé de mesures de substitution serait propre à écarter les risques constatés. S’il admet que l’obligation de se présenter à une autorité suisse ne permettrait de constater une éventuelle fuite qu’a posteriori, il fait valoir que cette mesure, couplée à la fourniture de sûretés, permettrait de pallier le risque de fuite. Il relève que le montant de 3'000 fr. proposé à ce titre proviendrait des économies de son épouse, soutient qu’il serait parfaitement compatible avec sa situation financière et celle de son épouse et que cette somme suffirait pour anéantir toute velléité de fuite, dès lors qu’elle représenterait l’ensemble des économies du couple. A titre plus subsidiaire, il fait valoir que l’obligation de produire un contrat de bail portant sur un logement en Suisse, couplée à l’obligation de s’annoncer régulièrement à un poste de police, serait suffisante pour pallier tout risque de fuite et reproche au Tribunal des mesures de contrainte de ne pas avoir examiné cette proposition. Le recourant fait enfin valoir que l’interdiction d’entretenir des relations avec d’autres personnes impliquées serait propre à prévenir le risque de collusion constaté.</w:t>
      </w:r>
    </w:p>
    <w:p>
      <w:r>
        <w:rPr>
          <w:b/>
        </w:rPr>
        <w:t>E. 6.2</w:t>
      </w:r>
    </w:p>
    <w:p>
      <w:r>
        <w:t>- 23 -</w:t>
      </w:r>
    </w:p>
    <w:p>
      <w:r>
        <w:rPr>
          <w:b/>
        </w:rPr>
        <w:t>E. 6.2.1</w:t>
      </w:r>
    </w:p>
    <w:p>
      <w:r>
        <w:t>En vertu du principe de la proportionnalité ancré à l'art. 36 al. 3 Cst., l'autorité doit tenter autant que possible de substituer à la détention toute autre mesure moins incisive propre à atteindre le même résultat (ATF 133 I 270 consid. 2.2), la détention représentant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précité consid. 3.1).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(TF 7B_618/2024 du 25 juin 2024 consid. 3.4.2 ; TF 7B_1011/2023 du 11 janvier 2024 consid. 5.3 et les références citées).</w:t>
      </w:r>
    </w:p>
    <w:p>
      <w:r>
        <w:rPr>
          <w:b/>
        </w:rPr>
        <w:t>E. 6.2.2</w:t>
      </w:r>
    </w:p>
    <w:p>
      <w:r>
        <w:t>A teneur de l'art. 238 al. 1 CPP, s'il y a danger de fuite, le tribunal peut astreindre le prévenu au versement d'une somme d'argent afin de garantir qu'il se présentera aux actes de procédure et qu'il se soumettra à l'exécution d'une sanction privative de liberté. La libération</w:t>
      </w:r>
    </w:p>
    <w:p>
      <w:r>
        <w:t>- 24 -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TF 7B_371/2024 du 23 avril 2024 consid. 5.2 ; TF 7B_778/2023 du</w:t>
      </w:r>
    </w:p>
    <w:p>
      <w:r>
        <w:rPr>
          <w:b/>
        </w:rPr>
        <w:t>E. 6.3</w:t>
      </w:r>
    </w:p>
    <w:p>
      <w:r>
        <w:t>La Chambre de céans considère, à l’instar du premier juge, que les mesures de substitution proposées par le recourant ne sont pas susceptibles de prévenir efficacement les risques constatés et qu’aucune autre mesure n’est à même d’y pallier valablement. A cet égard, c’est à raison que le premier juge a considéré que l’obligation pour le recourant de se présenter régulièrement à un poste de police n’était pas suffisante pour parer au risque de fuite constaté. Par ailleurs, il incombe à celui qui prétend à une libération sous caution de fournir à l'autorité tous les éléments nécessaires pour établir l'origine des fonds et pour évaluer le caractère dissuasif du montant proposé. Or, quand bien même le Tribunal des mesures de contrainte lui a reproché de ne pas avoir suffisamment étayé ces éléments, le recourant se borne, dans son acte de recours, à</w:t>
      </w:r>
    </w:p>
    <w:p>
      <w:r>
        <w:t>- 25 - prétendre – sans l’établir – que le montant de 3'000 fr. proviendrait des économies de son épouse, laquelle percevrait un salaire de l’ordre de 3'500 euros par mois, et que cette somme constituerait l’ensemble des économies du couple. Ces affirmations, qui ne reposent que sur ses dires, sont insuffisantes pour déterminer la provenance des fonds et pour évaluer le caractère dissuasif du montant proposé. Force est ainsi de constater que les éléments factuels exigés par la jurisprudence font défaut. Les sûretés proposées, même couplées à une obligation de se présenter régulièrement à un poste de police, n'apparaissent donc pas suffisantes pour garantir la présence du recourant en Suisse, étant rappelé qu’il s’expose, compte tenu de la gravité des faits reprochés, à une importante peine privative de liberté ainsi qu’à une expulsion du territoire suisse. Quant à l’obligation de produire un contrat de bail portant sur un logement en Suisse, couplée à l’obligation de s’annoncer régulièrement à un poste de police, elle n’est pas de nature, à l’instar d’une assignation à résidence, à l’empêcher de s'enfuir en France, voire de passer dans la clandestinité, et constitue dès lors une mesure insuffisante au regard des charges qui pèsent contre lui et de la peine à laquelle il s’expose. A cet égard, s’il est vrai que le Tribunal des mesures de contrainte n’a pas examiné cette mesure de substitution, pourtant proposée par le recourant, celui-ci a eu la faculté de faire valoir ses moyens devant une autorité de recours disposant d’un plein pouvoir d'examen, de sorte que le vice formel allégué peut être réparé en procédure de recours. Enfin, le recourant ne conteste pas qu’une interdiction de contact n’est pas à même de pallier le risque de fuite retenu, cette mesure ayant été proposée pour écarter le risque de collusion. En conclusion, les mesures de substitution proposées ne sont pas susceptibles de pallier le risque de fuite constaté et la Chambre de céans ne voit pas à ce stade d’autre mesure susceptible de le prévenir efficacement.</w:t>
      </w:r>
    </w:p>
    <w:p>
      <w:r>
        <w:t>- 26 -</w:t>
      </w:r>
    </w:p>
    <w:p>
      <w:r>
        <w:rPr>
          <w:b/>
        </w:rPr>
        <w:t>E. 7</w:t>
      </w:r>
    </w:p>
    <w:p>
      <w:r>
        <w:t>En définitive, le recours, manifestement mal fondé, doit être rejeté sans échange d’écritures (art. 390 al. 2 CPP) et l’ordonnance entreprise confirmée. Le défenseur d’office du recourant conclut au versement d’une indemnité de 2'044 fr. 30 et produit une liste d’opérations faisant état de</w:t>
      </w:r>
    </w:p>
    <w:p>
      <w:r>
        <w:rPr>
          <w:b/>
        </w:rPr>
        <w:t>E. 10</w:t>
      </w:r>
    </w:p>
    <w:p>
      <w:r>
        <w:t>h 18 d’activité d’avocat consacrées à la rédaction et à la finalisation du recours, ainsi qu’aux recherches y relatives. Cette durée est excessive compte tenu de la nature de l’affaire – la détention provisoire étant un domaine juridique simple et courant pour tout mandataire professionnel exerçant dans le domaine du droit pénal – et du mémoire déposé, 5 h 00 apparaissant suffisantes pour effectuer toutes les opérations nécessaires dans le cadre de la procédure de recours, à raison de 4 h 00 pour la rédaction et la finalisation du recours et d’1 h 00 pour les recherches y relatives. Ainsi, l’indemnité allouée au défenseur d’office de J.________ sera fixée à 900 fr., correspondant à une activité nécessaire d’avocat de 5 h 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et la TVA au taux de 8,1 %, par 74 fr. 35, soit à 993 fr. au total en chiffres arrondis. Vu le sort du recours, les frais de la procédure, constitués en l’espèce de l’émolument d'arrêt, par 2’640 fr. (art. 20 al. 1 TFIP), et des frais imputables à la défense d’office de J.________ (art. 422 al. 1 et 2 let. a CPP), fixés à 993 fr., seront mis à la charge du recourant, qui succombe (art. 428 al. 1 CPP). Le remboursement à l’Etat de l’indemnité allouée au défenseur d’office du recourant ne sera toutefois exigible que pour autant que la situation financière de celui-ci le permette (art. 135 al. 4 CPP).</w:t>
      </w:r>
    </w:p>
    <w:p>
      <w:r>
        <w:t>- 27 - Par ces motifs, la Chambre des recours pénale prononce : I. Le recours est rejeté. II. L’ordonnance du 30 janvier 2025 est confirmée III. L’indemnité allouée au défenseur d’office de J.________ est fixée à 993 fr. (neuf cent nonante-trois francs). IV. Les frais d’arrêt, par 2’640 fr. (deux mille six cent quarante francs), ainsi que l’indemnité due au défenseur d’office du recourant, par 993 fr. (neuf cent nonante-trois francs), sont mis à la charge de J.________. V. Le remboursement à l’Etat de l’indemnité allouée au chiffre III ci-dessus ne sera exigible que pour autant que la situation financière de J.________ le permette. VI. L’arrêt est exécutoire. Le président : La greffière : Du Le présent arrêt, dont la rédaction a été approuvée à huis clos, est notifié, par l'envoi d'une copie complète, à : - Me Aurélie Cornamusaz, avocate (pour J.________), - Ministère public central,</w:t>
      </w:r>
    </w:p>
    <w:p>
      <w:r>
        <w:t>- 28 - et communiqué à : - M. le Président du Tribunal des mesures de contrainte, - Mme la Procureure du Ministère public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