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PE23.002859 vom 8. Mai 2024</w:t>
      </w:r>
    </w:p>
    <w:p>
      <w:r>
        <w:t>VD Tribunal cantonal, 2024-05-08, FR</w:t>
      </w:r>
    </w:p>
    <w:p>
      <w:r>
        <w:rPr>
          <w:b/>
        </w:rPr>
        <w:t xml:space="preserve">Quelle: </w:t>
      </w:r>
      <w:r>
        <w:t>https://mcp.opencaselaw.ch/entscheid/vd_gerichte_PE23.002859</w:t>
      </w:r>
    </w:p>
    <w:p>
      <w:r>
        <w:t>FR: VD_GERICHTE PE23.002859 du 8 mai 2024</w:t>
      </w:r>
    </w:p>
    <w:p>
      <w:r>
        <w:t>IT: VD_GERICHTE PE23.002859 del 8 maggio 2024</w:t>
      </w:r>
    </w:p>
    <w:p>
      <w:pPr>
        <w:pStyle w:val="Heading2"/>
      </w:pPr>
      <w:r>
        <w:t>Erwägungen</w:t>
      </w:r>
    </w:p>
    <w:p>
      <w:r>
        <w:rPr>
          <w:b/>
        </w:rPr>
        <w:t>E. 4.1</w:t>
      </w:r>
    </w:p>
    <w:p>
      <w:r>
        <w:t>Le Ministère public considère que X.________ aurait dû être condamné à une peine privative de liberté de 7 ans. Certes, il avait admis immédiatement les faits, avait exprimé des regrets, avait adhéré aux conclusions civiles et était relativement jeune au moment des faits. Il n’en restait pas moins qu’il avait tenté de tuer non pas une, mais deux personnes, faisant preuve d’une violence inouïe. En outre, il gérait sa frustration en utilisant la violence. Enfin, il avait déjà occupé les autorités de poursuite pénale pour des événements de violence commis durant une année à l’encontre de sa concubine de l’époque, avait été entendu par le Ministère public et était au bénéfice d’une suspension de la procédure pénale. Cela ne l’avait pas empêché d’être muni d’un couteau et de l’avoir utilisé afin d’essayer de tuer deux personnes.</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- 24 -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142 IV 137 consid. 9.1).</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TF 6B_913/2023, 6B_917/2023 du 10 octobre 2024 consid. 4.2).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w:t>
      </w:r>
    </w:p>
    <w:p>
      <w:r>
        <w:rPr>
          <w:b/>
        </w:rPr>
        <w:t>E. 4.3</w:t>
      </w:r>
    </w:p>
    <w:p>
      <w:r>
        <w:t>- 25 -</w:t>
      </w:r>
    </w:p>
    <w:p>
      <w:r>
        <w:rPr>
          <w:b/>
        </w:rPr>
        <w:t>E. 4.3.1</w:t>
      </w:r>
    </w:p>
    <w:p>
      <w:r>
        <w:t>Les premiers juges ont considéré que la culpabilité de X.________ était lourde. Il n’y avait pas d’explication à son passage à l’acte d’une violence inouïe et son historique de violences conjugales attestait de l’étendue de sa dangerosité. X.________ utilisait l’agression physique pour gérer sa frustration, sans se soucier des dommages qu’il provoquait, et son absence de maîtrise de soi était effrayante. A décharge, ils ont retenu que les homicides en étaient restés au stade de la tentative, que X.________ avait collaboré à l’enquête, reconnu les faits et admis ses torts. Il n’y avait pas lieu de faire application de l’art. 48d CP pour autant, aucun élément significatif ne le justifiant. Il y avait également lieu de tenir compte de son jeune âge et de fait que ses pleurs et ses regrets étaient apparus sincères. X.________ paraissait avoir pris la mesure de sa dangerosité et avoir entamé spontanément des suivis pour traiter ses problématiques. Son adhésion aux conclusions civiles des parties plaignantes devait également être prise en compte dans le cadre de la fixation de la peine. Les infractions retenues étaient en concours. La responsabilité de X.________ était entière. Par conséquent, au vu de ces éléments et de la situation personnelle de X.________, le tribunal a estimé qu’il y avait lieu de s’en tenir au minimum légal, soit une peine privative de liberté de 5 ans.</w:t>
      </w:r>
    </w:p>
    <w:p>
      <w:r>
        <w:rPr>
          <w:b/>
        </w:rPr>
        <w:t>E. 4.3.2</w:t>
      </w:r>
    </w:p>
    <w:p>
      <w:r>
        <w:t>Si ces considérations peuvent être globalement suivies, la peine fixée apparaît excessivement clémente pour une double tentative de meurtre. Par ailleurs, la prétendue prise de conscience ne saurait être prise en compte comme élément à décharge dans une aussi large mesure, malgré les pleurs et les regrets exprimés aux débats de première instance. En effet, deux ans après les faits, X.________ n’a toujours pas pris la mesure de la gravité de ses agissements lorsqu’il déclare, aux débats d’appel, qu’il « n’a[vait] (…) même pas remarqué qu’[il] avai[t] touché Y.________ avec le couteau » (cf. p. 3 supra). S’il peut être salué qu’il a entrepris de lui-même un suivi psychologique en détention, il ne faut pas perdre de vue qu’il avait déjà entamé une thérapie au Centre de prévention de l’Ale une année avant les faits (cf. dossier B, P. 9ss) et qu’il bénéficiait d’une suspension de procédure pénale pour des actes de violence commis à l’encontre de sa compagne. Au demeurant, il faut</w:t>
      </w:r>
    </w:p>
    <w:p>
      <w:r>
        <w:t>- 26 - également retenir que si les homicides en sont restés au stade de la tentative, c’est essentiellement en raison de l’intervention de tiers ainsi que des secours qui sont rapidement arrivés sur place. Au vu de l’intensité délictueuse, c’est donc une peine de base minimale de 4 ans et demi qu’il convient de retenir (peine minimale de cinq ans réduite compte tenu de la tentative), laquelle doit être aggravée de 2 ans et demi par l’effet du concours. Ainsi, une peine privative de liberté de 7 ans est adéquate.</w:t>
      </w:r>
    </w:p>
    <w:p>
      <w:r>
        <w:rPr>
          <w:b/>
        </w:rPr>
        <w:t>E. 5</w:t>
      </w:r>
    </w:p>
    <w:p>
      <w:r>
        <w:t>Pour le surplus, X.________ ne conteste pas sa condamnation à une amende de 100 fr., convertible en une peine privative de liberté de substitution d’un jour en cas de non-paiement fautif, pour contravention à la LStup. Celle-ci sera donc confirmée.</w:t>
      </w:r>
    </w:p>
    <w:p>
      <w:r>
        <w:rPr>
          <w:b/>
        </w:rPr>
        <w:t>E. 6.1</w:t>
      </w:r>
    </w:p>
    <w:p>
      <w:r>
        <w:t>Le Ministère public conteste que la clause de rigueur au sens de l’art. 66a al. 2 CP puisse s’appliquer. Il soutient que l’expulsion de X.________ au Portugal, pays qui ne connait ni guerre, ni soulèvement social, ni crise économique majeure, ne le placerait pas dans une situation personnelle grave et que sa famille pourrait lui rendre visite sans difficultés. De plus, bien qu’il réside en Suisse depuis 10 ans, cela fait deux ans qu’il est en détention, et au moment de son interpellation, il était sans domicile stable. L’intérêt public l’emporterait donc sur son intérêt privé à rester en Suisse.</w:t>
      </w:r>
    </w:p>
    <w:p>
      <w:r>
        <w:rPr>
          <w:b/>
        </w:rPr>
        <w:t>E. 6.2.1</w:t>
      </w:r>
    </w:p>
    <w:p>
      <w:r>
        <w:t>Aux termes de l'art. 66a al. 1 let. a CP, le juge expulse de Suisse l'étranger qui est condamné pour meurtre, quelle que soit la quotité de la peine prononcée à son encontre, pour une durée de 5 à 15 ans. Cette disposition s'applique également en cas de tentative (cf. ATF 146 IV 105 consid. 3.4.1 ; ATF 144 IV 168 consid. 1.4.1 ; TF 6B_1006/2023 du 16 février 2024 consid. 3.1.1).</w:t>
      </w:r>
    </w:p>
    <w:p>
      <w:r>
        <w:rPr>
          <w:b/>
        </w:rPr>
        <w:t>E. 6.2.2</w:t>
      </w:r>
    </w:p>
    <w:p>
      <w:r>
        <w:t>Selon l'art. 66a al. 2 CP, le juge peut exceptionnellement renoncer à une expulsion lorsque celle-ci mettrait l'étranger dans une situation personnelle grave et que les intérêts publics à l'expulsion ne</w:t>
      </w:r>
    </w:p>
    <w:p>
      <w:r>
        <w:t>- 27 - l'emportent pas sur l'intérêt privé de l'étranger à demeurer en Suisse. A cet égard, il tiendra compte de la situation particulière de l'étranger qui est né ou a grandi en Suisse. Cette clause dite de rigueur permet de garantir le principe de la proportionnalité (cf. art. 5 al. 2 Cst. ; ATF 149 IV 231 consid. 2.1.1 ; ATF 146 IV 105 consid. 3.4.2 ; ATF 144 IV 332 consid. 3.3.1 ; TF 6B_1242/2023 du 2 octobre 2024 consid. 5.2.1).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146 IV 105 consid. 3.4.2 ; ATF 144 IV 332 consid. 3.3.2 ; TF 6B_1242/2023 précité).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ATF 146 IV 105 consid. 3.4.2 ; TF 6B_1242/2023 précité consid. 5.2.2 ; TF 6B_1006/2023 précité). L'art. 8 § 1 CEDH dispose que toute personne a en particulier droit au respect de sa vie privée et familiale. Une ingérence dans l'exercice de ce droit est possible, selon l'art. 8 § 2 CEDH, pour autant qu'elle soit prévue par la loi et qu'elle constitue une mesure qui, dans une société démocratique, est nécessaire</w:t>
      </w:r>
    </w:p>
    <w:p>
      <w:r>
        <w:t>- 28 - à la sécurité nationale, à la sûreté publique, au bien-être économique du pays, à la défense de l'ordre et à la prévention des infractions pénales, à la protection de la santé ou de la morale ou à la protection des droits et libertés d'autrui (TF 6B_1242/2023 précité consid. 5.2.2). Un étranger peut se prévaloir de l'art. 8 § 1 CEDH (et de l'art. 13 Cst) pour s'opposer à l'éventuelle séparation de sa famille, pour autant qu'il entretienne une relation étroite et effective avec une personne de sa famille ayant le droit de résider durablement en Suisse (ATF 149 I 207 consid. 6.1; ATF 144 II 1 consid. 2.1). Les relations familiales visées par l'art. 8 § 1 CEDH sont avant tout celles qui concernent la famille dite nucléaire, soit celles qui existent entre époux ainsi qu'entre parents et enfants mineurs vivant en ménage commun (cf. ATF 144 II 1 consid. 6.1 ; ATF 135 I 143 consid. 1.3.2 ; TF 6B_1242/2023 précité). En l'absence de ménage commun avec son enfant et de relations personnelles entretenues de manière régulière, la seule présence en Suisse de l'enfant du condamné ne permet en principe pas de considérer qu'il existe une atteinte à la vie familiale au sens de l'art. 8 § 1 CEDH et, par conséquent, que son expulsion l'expose à une situation personnelle grave (TF 6B_352/2024 du 30 août 2024 consid. 3.2.3) Dans la pesée des intérêts, il faut aussi tenir compte de l'intérêt supérieur de l'enfant et de son bien-être (art. 3 de la Convention du 20 novembre 1989 relative aux droits de l'enfant [CDE ; RS 0.107] ; ATF 143 I 21 consid. 5.5.1 ; TF 6B_352/2024 précité consid. 3.2.4).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w:t>
      </w:r>
    </w:p>
    <w:p>
      <w:r>
        <w:t>- 29 -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(TF 6B_352/2024 précité et les références citées).</w:t>
      </w:r>
    </w:p>
    <w:p>
      <w:r>
        <w:rPr>
          <w:b/>
        </w:rPr>
        <w:t>E. 6.2.3</w:t>
      </w:r>
    </w:p>
    <w:p>
      <w:r>
        <w:t>Selon la jurisprudence, le juge doit fixer la durée de l'expulsion dans la fourchette prévue de 5 à 15 ans, en tenant compte du principe de la proportionnalité (TF 6B_1006/2023 précité consid. 4.1 et les arrêts cités).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(TF 6B_1006/2023 précité et les références citées). La durée de l'expulsion n'a pas à être symétrique à la durée de la peine prononcée (TF 6B_1006/2023 précité et les arrêts cités).</w:t>
      </w:r>
    </w:p>
    <w:p>
      <w:r>
        <w:rPr>
          <w:b/>
        </w:rPr>
        <w:t>E. 6.3.1</w:t>
      </w:r>
    </w:p>
    <w:p>
      <w:r>
        <w:t>En l’occurrence, les premiers juges ont considéré que l’intégration de X.________ apparaissait bonne. Il vivait en Suisse depuis ses 14 ans, y avait suivi une formation et obtenu un certificat. Avant son incarcération, il travaillait et n’avait jamais été condamné en Suisse. Il paraissait également intégré socialement. X.________ était séparé de la mère de sa fille, âgée de quatre ans, avec laquelle il entretenait de bons et réguliers rapports. Lors des débats, il avait indiqué que sa fille souffrait depuis ses cinq mois de bronchites spastiques à répétition qui avaient nécessité plusieurs hospitalisations et bénéficiait toujours d’un suivi médical régulier ainsi que d’un traitement médicamenteux (Rapport du 31 janvier 2023 de la Dre [...], spécialiste en pneumologie pédiatrique [P. 61/2]). Il exerçait une autorité parentale conjointe et, avant son incarcération, le droit de visite s’exerçait d’entente entre les parents. Depuis, la fille de X.________ lui rendait visite presque toutes les semaines. Ainsi, après avoir longuement mis en balance les différents intérêts en présence, le tribunal était parvenu à la conclusion que la situation de la fille de X.________ serait prétéritée par le renvoi de son père, et cela même</w:t>
      </w:r>
    </w:p>
    <w:p>
      <w:r>
        <w:t>- 30 - si des visites au Portugal pouvaient s’organiser durant les vacances scolaires ainsi que des appels-vidéos. Les premiers juges avaient dès lors décidé de donner à X.________ une dernière chance de se conformer aux règles, prenant en compte également, dans le cadre de l’examen de la récidive, le fait qu’il s’était soumis spontanément à un suivi psychothérapeutique durant son incarcération, où ses capacités d’introspection et de remise en question avaient été qualifiées de bonnes.</w:t>
      </w:r>
    </w:p>
    <w:p>
      <w:r>
        <w:rPr>
          <w:b/>
        </w:rPr>
        <w:t>E. 6.3.2</w:t>
      </w:r>
    </w:p>
    <w:p>
      <w:r>
        <w:t>Un tel raisonnement ne peut pas être suivi. L’intégration professionnelle de X.________ est plutôt moyenne que bonne. Il est endetté à hauteur de 6000 fr. et sa situation financière ne va pas s’améliorer compte tenu du présent jugement. Le fait que ses parents, ainsi que ses sept frères et sœurs, vivent en Suisse n’est pas un élément prépondérant dès lors que X.________ est aujourd’hui un jeune adulte âgé de 25 ans. De plus, il a encore des attaches familiales au Portugal, où il a vécu toute son enfance et sa préadolescence, soit ses premières années de vie, sur une période plus longue qu’en Suisse, et où il maîtrise la langue. Aux débats d’appel, il a indiqué vouloir suivre une formation de marketing et de e- commerce dans le but d’ouvrir un magasin de seconde main et a reconnu que cela pourrait se faire au Portugal (cf. p. 4 supra). Ses capacités de réinsertion dans son pays ne sont dès lors pas insurmontables. On peut ainsi admettre, avec le Parquet, que la fille de X.________, dont l’état de santé s’est amélioré (cf. p. 4 supra), pourra sans difficultés lui rendre visite au Portugal, pays dont est également originaire sa mère (Rapport de violence domestique de la Gendarmerie du 21 juin 2022 [Dossier B : P. 4]), sans que son bien-être soit affecté. Pour rappel, elle est âgée de quatre ans et cela fait deux ans maintenant qu’elle rend visite à son père en prison. A l’inverse, la gravité objective des faits à juger est considérable. X.________ n’a pas tiré bénéfice d’une suspension de la procédure pénale pour violences domestiques et il a encore franchi un pas de plus dans les actes violents, malgré un suivi entrepris au Centre de prévention de l’Ale (cf. Courrier du Centre de Prévention de l’Ale du 13 septembre 2022 [Dossier B : P. 9]). De plus, sa remise en question aux débats d’appel est, comme on l’a vu, parue toute relative (cf. consid. 4.3.2 supra).</w:t>
      </w:r>
    </w:p>
    <w:p>
      <w:r>
        <w:t>- 31 - Au vu de ce qui précède, l’intérêt public très important à éloigner ce délinquant au potentiel de dangerosité élevé de Suisse doit l’emporter sur l’intérêt privé relatif de X.________ à y demeurer, de sorte que son expulsion doit être ordonnée pour une durée suffisamment longue, soit 10 ans, milieu de la fourchette prévue par l’art. 66a al. 1 CP.</w:t>
      </w:r>
    </w:p>
    <w:p>
      <w:r>
        <w:rPr>
          <w:b/>
        </w:rPr>
        <w:t>E. 7</w:t>
      </w:r>
    </w:p>
    <w:p>
      <w:r>
        <w:t>En conclusion, l’appel de X.________ doit être rejeté, l’appel du Ministère public admis et le jugement du 8 mai 2024 réformé dans le sens des considérants. Me Dario Barbosa a produit une liste d’opérations faisant état de 17h12 d’activité, dont il n’y a pas lieu de s’écarter. Son indemnité sera donc fixée à 3'096 fr., le tarif horaire étant de 180 fr.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61 fr. 92, deux vacations par 120 fr., soit 240 fr., et la TVA au taux de 8,1 % sur le tout, par 275 fr. 23. L’indemnité s’élève ainsi au total à 3'673 fr. 15. Me Alex Matos a produit une liste d’opérations faisant état de 19h21 d’activité d’avocate-stagiaire et de 3h28 d’activité d’avocat. Les mémos des 30 août, 5, 18 décembre 2024 et 9 janvier 2025 doivent être retranchés dès lors qu’ils relèvent du travail de secrétariat. Il en va de même des deux heures de vacation et des une heure et quarante minutes de consultation du 16 janvier 2025. Les opérations à double entre l’avocate-stagiaire et son maître de stage des 2 et 4 décembre 2024 ainsi que des 29, 30 et 31 janvier 2025 doivent être revues. Ainsi, il ne sera retenu qu’une heure d’activité d’avocate-stagiaire le 2 décembre 2024 et les six heures et trente minutes du mois de janvier 2025 de « prise de connaissance du dossier complet et de plaidoirie » de l’avocate-stagiaire seront ramenées à deux heures dans la mesure où son maître de stage y a consacré une heure et trente minutes. La vacation au Tribunal cantonal de l’avocate-stagiaire hors canton sera rémunérée 80 fr. de l’heure et non</w:t>
      </w:r>
    </w:p>
    <w:p>
      <w:r>
        <w:t>- 32 - 110 fr., conformément à la pratique en la matière. L’audience de jugement sera ramenée à deux heures. L’opération à double intitulée « vacation Cour d’appel (aller-retour) » du 3 février 2025 sera supprimée ainsi que les 30 minutes prévues pour la lecture du jugement, laquelle n’a pas eu lieu. Le temps d’activité à indemniser doit ainsi être fixé à 5h53 pour l’avocate stagiaire et 3h15 pour l’avocat, soit 647 fr. 16 (5h53 x 110 fr.) et 585 fr. (3h15 x 180 fr.), soit au total 1'232 fr. 16, montant auquel il convient d’ajouter des débours forfaitaires à hauteur de 2 % des honoraires admis, soit 24 fr. 64., deux heures de vacation hors canton à 80 fr. de l’heure, soit 160 fr., ainsi que la TVA au taux de 8,1 % sur le tout, soit 114 fr. 76. L’indemnité totale s’élève donc à 1'531 fr. 56. Me Stefan Disch a produit une liste d’opérations faisant état de 16h10 d’activité d’avocat. Il convient de déduire les 10 minutes d’ouverture de dossier lesquelles constituent une tâche de secrétariat. Ainsi, c’est une indemnité de 3'305 fr. 26 (2'880 fr. [16h x 180 fr.]), débours par 57 fr. 60 (2% de 2'880 fr. [16 x 180]), une vacation par 120 fr. et la TVA au taux de 8,1 % sur le tout par 247 fr. 66 compris, qu’il convient de lui allouer. Vu l’issue de la cause, les frais d’appel, par 11'629 fr. 97, constitués des émoluments de jugement et d’audience, par 3’120 fr. (22 pages de jugement et 700 fr. d’audience [art. 21 al. 1 et 2 TFIP]), ainsi que des indemnités précitées, seront mis à la charge de X.________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