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PE23.002412 vom 24. Juli 2023</w:t>
      </w:r>
    </w:p>
    <w:p>
      <w:r>
        <w:t>VD Tribunal cantonal, 2023-07-24, FR</w:t>
      </w:r>
    </w:p>
    <w:p>
      <w:r>
        <w:rPr>
          <w:b/>
        </w:rPr>
        <w:t xml:space="preserve">Quelle: </w:t>
      </w:r>
      <w:r>
        <w:t>https://mcp.opencaselaw.ch/entscheid/vd_gerichte_PE23.002412</w:t>
      </w:r>
    </w:p>
    <w:p>
      <w:r>
        <w:t>FR: VD_GERICHTE PE23.002412 du 24 juillet 2023</w:t>
      </w:r>
    </w:p>
    <w:p>
      <w:r>
        <w:t>IT: VD_GERICHTE PE23.002412 del 24 luglio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l’occurrence, interjeté en temps utile auprès de l’autorité compétente et dans les formes prescrites, par la partie plaignante qui a qualité pour recourir (art. 382 al. 1 CPP), le recours est recevable. Les pièces nouvelles produites sont également recevables (cf. art. 389 al. 3 CPP).</w:t>
      </w:r>
    </w:p>
    <w:p>
      <w:r>
        <w:t>- 7 -</w:t>
      </w:r>
    </w:p>
    <w:p>
      <w:r>
        <w:rPr>
          <w:b/>
        </w:rPr>
        <w:t>E. 2</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précité consid. 4.1.2 et les réf. citées ; ATF 137 IV 285 consid. 2.3 et les réf. citées, JdT 2012 IV 160 ; TF 6B_1177/2022 du 21 février 2023 consid.</w:t>
      </w:r>
    </w:p>
    <w:p>
      <w:r>
        <w:rPr>
          <w:b/>
        </w:rPr>
        <w:t>E. 2.1</w:t>
      </w:r>
    </w:p>
    <w:p>
      <w:r>
        <w:t>p. 98 ; ATF 122 IV 207 consid. 3c p. 208).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précité consid. 3c p. 208 s. ; TF 6B_139/2021 du 9 juin 2021 consid. 3.1 ; CREP 21 septembre 2022/420 consid. 2.2.2).</w:t>
      </w:r>
    </w:p>
    <w:p>
      <w:r>
        <w:t>- 9 -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(ATF 103 IV 71 consid. 4b p. 72).</w:t>
      </w:r>
    </w:p>
    <w:p>
      <w:r>
        <w:rPr>
          <w:b/>
        </w:rPr>
        <w:t>E. 3.1</w:t>
      </w:r>
    </w:p>
    <w:p>
      <w:r>
        <w:t>La recourante soutient tout d’abord qu’en ne l’interpellant pas et en constatant que la plainte du 22 février 2023, donnée sans procuration spéciale, était irrecevable, le procureur aurait fait preuve d’un formalisme excessif en considérant que le droit de porter plainte dans le cadre d’atteinte à des biens strictement personnels et immatériels nécessitait une procuration spéciale donnée expressément ou tacitement en vue du cas concret ou la ratification de la plainte dans le délai de l’art. 31 CP. Selon elle, il serait même tombé dans l’arbitraire, dans la mesure où son conseil la représentait déjà dans plusieurs procédures similaires.</w:t>
      </w:r>
    </w:p>
    <w:p>
      <w:r>
        <w:rPr>
          <w:b/>
        </w:rPr>
        <w:t>E. 3.2.1.1</w:t>
      </w:r>
    </w:p>
    <w:p>
      <w:r>
        <w:t>Les infractions pénales ici en cause sont celles de diffamation et de calomnie (art. 173 et 174 CP). Elles ne sont poursuivies que sur plainte. Aux termes de l’art. 30 al. 1 CP, si une infraction n’est punie que sur plainte, toute personne lésée peut porter plainte contre l’auteur.</w:t>
      </w:r>
    </w:p>
    <w:p>
      <w:r>
        <w:rPr>
          <w:b/>
        </w:rPr>
        <w:t>E. 3.2.1.2</w:t>
      </w:r>
    </w:p>
    <w:p>
      <w:r>
        <w:t>Le droit de déposer plainte est de nature strictement personnelle (ATF 141 IV 380 consid. 2.3.4 p. 387 ; ATF 130 IV 97 consid.</w:t>
      </w:r>
    </w:p>
    <w:p>
      <w:r>
        <w:rPr>
          <w:b/>
        </w:rPr>
        <w:t>E. 3.2.2</w:t>
      </w:r>
    </w:p>
    <w:p>
      <w:r>
        <w:t>; TF 6B_1428/2016 du 3 octobre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 TF 6B_415/2018 précité consid. 2.1.3).</w:t>
      </w:r>
    </w:p>
    <w:p>
      <w:r>
        <w:rPr>
          <w:b/>
        </w:rPr>
        <w:t>E. 3.2.3</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Le fait d’accuser une personne d’avoir commis une infraction pénale ou un acte clairement réprouvé par les conceptions généralement admises constitue une atteinte à l’honneur (ATF 132 IV 112 précité consid. 2.1 ; ATF 118 IV 248 consid. 2b ; TF 6B_1268/2019 du 15 janvier 2020 consid. 1.2 et réf. citées).</w:t>
      </w:r>
    </w:p>
    <w:p>
      <w:r>
        <w:t>- 11 - La diffamation suppose une allégation de fait et non un simple jugement de valeur (ATF 137 IV 313 précité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précité consid. 2b ; ATF 105 IV 194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w:t>
      </w:r>
    </w:p>
    <w:p>
      <w:r>
        <w:rPr>
          <w:b/>
        </w:rPr>
        <w:t>E. 3.3</w:t>
      </w:r>
    </w:p>
    <w:p>
      <w:r>
        <w:t>En l’espèce, la question de savoir si le conseil de la recourante devait être interpellé pour justifier de ses pouvoirs ou si, compte tenu des autres procédures ouvertes, il était possible d’admettre qu’une procuration avait été donnée tacitement peut rester ouverte, dans la mesure où la non-entrée en matière concernant l’infraction de diffamation est justifiée sur le fond. En effet, la plainte déposée le 22 février 2023 (P. 8/1) est très vague en ce qui concerne les propos prétendument diffamatoires que B.________ aurait tenus. Par ailleurs, comme le relève le procureur, le seul fait d’invoquer que B.________ aurait tenu des propos à l’encontre du nouvel ami de A.N.________ et dit « des choses délirantes » n’est pas suffisant pour créer un quelconque soupçon qu’il aurait pu tenir des propos attentatoires à l’honneur de la recourante, au sens restrictif qui lui est donné par le droit pénal.</w:t>
      </w:r>
    </w:p>
    <w:p>
      <w:r>
        <w:t>- 12 - C’est donc à juste titre que le Ministère public a refusé d’entrer en matière sur sa plainte du 22 février 2023, celui-ci pouvant exclure que les faits reprochés constituaient une infraction pénale.</w:t>
      </w:r>
    </w:p>
    <w:p>
      <w:r>
        <w:rPr>
          <w:b/>
        </w:rPr>
        <w:t>E. 4.1</w:t>
      </w:r>
    </w:p>
    <w:p>
      <w:r>
        <w:t>Le procureur a notamment admis que la plainte du 2 février 2023, concernant des infractions poursuivies d’office, était recevable. Dans ce cadre, la recourante a déposé plainte pour contrainte. Elle a reproché à B.________, en substance, de l’inonder de messages, de la surveiller et de prendre contact avec des connaissances pour que celles-ci interviennent en sa faveur (P. 4). B.________ serait également intervenu auprès du collaborateur du conseil de la recourante, ainsi que de l’ami de celle-ci.</w:t>
      </w:r>
    </w:p>
    <w:p>
      <w:r>
        <w:rPr>
          <w:b/>
        </w:rPr>
        <w:t>E. 4.2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w:t>
      </w:r>
    </w:p>
    <w:p>
      <w:r>
        <w:t>- 13 - liberté de décision ou d’action. Il s’agit donc de moyens de contrainte qui, par leur intensité et leur effet, sont analogue à ceux cités expressément par la loi (ATF 141 IV 437 consid. 3.2.1 ; ATF 137 IV 326 consid. 3.3.1 ; TF 6B_306/2017 du 2 novembre 2017 consid. 3.1). Selon la jurisprudence, la contrainte n’est contraire au droit que si elle est illicite (ATF 120 IV 17 consid. 2a et les réf. citées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120 IV 17 précité consid. 2a/bb ; TF 6B_415/2018 précité consid. 2.1.3).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réf. citées). Par ailleurs, la contrainte peut être réalisée par la somme de plusieurs comportements distincts de l’auteur, par exemple lorsque celui- 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et al., Petit Commentaire du Code pénal, 2e éd., Bâle 2017,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w:t>
      </w:r>
    </w:p>
    <w:p>
      <w:r>
        <w:t>- 14 - victime à adopter un comportement déterminé (ATF 129 IV 262 précité consid. 2.4). L’intensité requise par l’art. 181 CP peut ainsi résulter du cumul de comportements divers ou de la répétition de comportements identiques sur une durée prolongée (cf. ATF 141 IV 437 précité consid.</w:t>
      </w:r>
    </w:p>
    <w:p>
      <w:r>
        <w:rPr>
          <w:b/>
        </w:rPr>
        <w:t>E. 4.3</w:t>
      </w:r>
    </w:p>
    <w:p>
      <w:r>
        <w:t>Il découle de ce qui précède que, dans un cas de « stalking », la contrainte ne résulte pas d’un acte pris individuellement, mais de la répétition de tels actes. Or, tel semble être le cas en l’espèce. En effet, B.________ semble importuner la recourante et son compagnon, de manière répétée, en l’inondant de messages, en la surveillant et en prenant contact avec des connaissances pour que celles-ci interviennent en sa faveur. Il ressort d’ailleurs du rapport du 13 mars 2023 de la DGEJ, produit après le dépôt du recours, que B.________ ne cesserait d’oppresser la recourante en la surveillant, en se postant aux alentours de son domicile et en faisant intervenir la police, si bien que A.N.________ n’oserait plus sortir de chez elle, tant elle se sentirait menacée. De plus, ces comportements semblent durer depuis plusieurs années, A.N.________ ayant déjà déposé plainte à l’encontre de B.________ pour des faits similaires, la procédure étant actuellement suspendue (PE22.007411). Il est enfin relevé qu’il n’est pas exclu que B.________ ait agi dans le but de modifier l’attitude de la recourante dans le cadre de la procédure en fixation de son droit de visite sur leur fille B.N.________. Partant, c’est à tort que le procureur a refusé d’entrer en matière sur la plainte du 2 février 2023 en relation avec l’infraction de contrainte et il appartiendra donc au Ministère public d’ouvrir une enquête sur la base des faits dénoncés par la recourante à ce titre.</w:t>
      </w:r>
    </w:p>
    <w:p>
      <w:r>
        <w:t>- 15 -</w:t>
      </w:r>
    </w:p>
    <w:p>
      <w:r>
        <w:rPr>
          <w:b/>
        </w:rPr>
        <w:t>E. 5.1</w:t>
      </w:r>
    </w:p>
    <w:p>
      <w:r>
        <w:t>Enfin, la recourante reproche au procureur de s’être substitué au juge civil en considérant que les mesures superprovisionnelles du 31 mars 2022 n’étaient plus valables « faute de décision valable au moment des faits » et avaient pris fin au plus tard le 3 juin 2022, alors que ladite procédure a été suspendue durant six mois d’un commun accord entre les parties et qu’une audience de mesures provisionnelles a finalement été appointée au 16 mars 2023.</w:t>
      </w:r>
    </w:p>
    <w:p>
      <w:r>
        <w:rPr>
          <w:b/>
        </w:rPr>
        <w:t>E. 5.1.2</w:t>
      </w:r>
    </w:p>
    <w:p>
      <w:r>
        <w:t>et les réf. citées). S’agissant de la fixation d’une audience ensuite de mesures superprovisionnelles, l’art. 265 al. 2 CPC prévoit que cette audience doit avoir lieu sans délai (unverzüglich ; quanto prima), le but de la norme étant de préserver le droit d’être entendu de la partie adverse (cf. art. 29 Cst.). La jurisprudence retient comme règle la fixation d’une audience de mesures provisionnelles dans les huit semaines dès le dépôt de la requête, mais cette règle n’est cependant pas absolue, les circonstances du cas</w:t>
      </w:r>
    </w:p>
    <w:p>
      <w:r>
        <w:t>- 17 - d’espèce étant décisives (CREC 7 octobre 2016/403 ; CREC 17 février 2014/63). Si le juge qui a rendu les mesures superprovisionnelles tarde à mettre immédiatement en œuvre la procédure de mesures provisionnelles ordinaire, les parties doivent se plaindre de déni de justice pour retard injustifié (TF 5A_1023/2018 précité).</w:t>
      </w:r>
    </w:p>
    <w:p>
      <w:r>
        <w:rPr>
          <w:b/>
        </w:rPr>
        <w:t>E. 5.2.1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 nullum crimen sine lege » de l’art. 1 CP (cf. ATF 127 IV 119 consid. 2a et les réf.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précité consid. 4e).</w:t>
      </w:r>
    </w:p>
    <w:p>
      <w:r>
        <w:rPr>
          <w:b/>
        </w:rPr>
        <w:t>E. 5.2.2</w:t>
      </w:r>
    </w:p>
    <w:p>
      <w:r>
        <w:t>Aux termes de l’art. 265 CPC (Code de procédure civile du 19 décembre 2008 ; RS 272), en cas d’urgence particulière, notamment s’il y a risque d’entrave à leur exécution, le tribunal peut ordonner des mesures</w:t>
      </w:r>
    </w:p>
    <w:p>
      <w:r>
        <w:t>- 16 -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La raison d’être de la décision superprovisionnelle est l’urgence particulière, tandis que les autres éléments que le requérant doit rendre vraisemblables restent les mêmes que ceux susceptibles de fonder la décision provisionnelle qui suit. La décision superprovisionnelle se distingue de la provisionnelle uniquement par le fait qu’elle est rendue sans que la partie adverse soit entendue préalablement. Sa fonction est d’éviter qu’un préjudice ne soit causé aux droits litigieux entre le moment où le juge est requis d’ordonner des mesures provisionnelles et celui où il statue contradictoirement sur la requête. Dans la procédure contradictoire qui doit nécessairement et rapidement suivre, le juge qui doit statuer à titre provisionnel n’examine pas la décision superprovisionnelle. Sa décision provisionnelle remplace et rend caduque la précédente ordonnance superprovisionnelle (TF 5A_196/2023 du 6 avril 2023 consid. 3.1). Les mesures superprovisionnelles deviennent caduques suite au prononcé des mesures provisionnelles qui doit obligatoirement y faire suite après audition des parties à la procédure et qui confirme, modifie ou supprime, et ainsi, remplace, ces mesures superprovisionnelles précédemment ordonnées (TF 5A_1023/2018 du 8 juillet 2019 consid.</w:t>
      </w:r>
    </w:p>
    <w:p>
      <w:r>
        <w:rPr>
          <w:b/>
        </w:rPr>
        <w:t>E. 5.3</w:t>
      </w:r>
    </w:p>
    <w:p>
      <w:r>
        <w:t>Le procureur a refusé d’entrer en matière sur la plainte du 2 février 2023, s’agissant des faits soulevés par la recourante en lien avec l’infraction d’insoumission à une décision de l’autorité, en considérant que, selon la jurisprudence vaudoise, un délai de huit semaines entre la décision de mesures superprovisionnelles et l’audience de mesures provisionnelles était excessif. Pour le procureur, les mesures superprovisionnelles devaient ainsi prendre fin au plus tard le 3 juin 2022. Selon lui, admettre le contraire reviendrait à laisser perdurer des mesures superprovisionnelles sans aucune limite temporelle, alors que la partie défenderesse n’a jamais pu faire valoir son droit d’être entendu. En l’espèce, il y a tout d’abord lieu de relever qu’il n’appartient pas au juge pénal de décider si des mesures superprovisionnelles sont devenues caduques, pour le seul motif qu’il considère que le délai de fixation de l’audience de mesures provisionnelles est excessif. Par ailleurs, il est rappelé que l’audience n’avait été agendée – dans un premier temps – qu’au 3 juin 2022 et que les parties ont convenue de suspendre la procédure de mesures provisionnelles pour six mois. Cette suspension ne saurait avoir pour conséquence la caducité des décisions prises avant celle-ci. Tout au plus peut-on considérer que cela explique le long délai entre les mesures superprovisionnelles et la fixation de l’audience de mesures provisionnelles. En définitive, dès lors que les mesures superprovisionnelles n’ont pas été révoquées par le président ou que celui-ci n’a pas rendu une ordonnance de mesures provisionnelles remplaçant les mesures superprovisionnelles, l’ordonnance du 31 mars 2022 était ainsi encore en vigueur au moment des faits qui ont été évoqués par la recourante dans sa plainte du 2 février 2023.</w:t>
      </w:r>
    </w:p>
    <w:p>
      <w:r>
        <w:t>- 18 - Partant, le procureur ne pouvait pas refuser d’entrer en matière sur la plainte de A.N.________ au motif que l’ordonnance de mesures superprovisionnelles du 31 mars 2022 avait pris fin au 3 juin 2022. Le recours est donc bien fondé sur ce point également et le Ministère public devra ouvrir une instruction, afin de déterminer si les éléments constitutifs de l’infraction d’insoumission à une décision de l’autorité sont réunis.</w:t>
      </w:r>
    </w:p>
    <w:p>
      <w:r>
        <w:rPr>
          <w:b/>
        </w:rPr>
        <w:t>E. 6</w:t>
      </w:r>
    </w:p>
    <w:p>
      <w:r>
        <w:t>En définitive, le recours doit être partiellement admis et l’ordonnance de non-entrée en matière du 23 février 2023 annulée en tant qu’elle vaut refus d’entrer en matière sur les faits potentiellement constitutifs de contrainte et d’insoumission à une décision de l’autorité (cf. supra consid. 4.3 et 5.3). La cause doit ainsi être renvoyée au Ministère public pour qu’il procède dans le sens des considérants. S’agissant des faits prétendument constitutifs de diffamation, l’ordonnance doit être confirmée (cf. supra consid. 3.3). Vu l’issue de la cause, les frais de la procédure de recours, constitués en l’espèce de l’émolument d’arrêt (art. 422 al. 1 CPP), par 1’870 fr. (art. 20 al. 1 TFIP [tarif des frais de procédure et indemnités en matière pénale du 28 septembre 2010 ; BLV 312.03.1]), seront mis à la charge de la recourante à raison d’un quart, soit par 467 fr. 50, le solde étant laissé à la charge de l’Etat (art. 428 al. 1 et 4 CPP). Obtenant partiellement gain de cause, la recourante, qui a procédé avec l’assistance d’un avocat de choix, a droit à une indemnité réduite pour les dépenses occasionnées par la procédure de recours (art. 433 al. 1 let. a CPP, applicable par renvoi de l’art. 436 al. 1 CPP). Au vu du mémoire de recours et de la note d’honoraires produits, celle-ci sera fixée à 1’950 fr., correspondant à 6 heures et 30 minutes d’activité nécessaire d’avocat au tarif horaire de 300 fr., auxquels il convient d’ajouter des débours forfaitaires à concurrence de 2 %, par 39 fr., plus la TVA, par 153 fr. 20, soit à 2’143 fr. au total en chiffres arrondis. Il est précisé que 20 minutes ont été déduites du total des heures annoncé par l’avocat de choix, dès lors que, selon la jurisprudence constante de la Chambre de</w:t>
      </w:r>
    </w:p>
    <w:p>
      <w:r>
        <w:t>- 19 - céans, il convient de retrancher toutes les opérations en lien avec l’envoi des mémos, qui constitue du travail de secrétariat (Bohnet/Martenet, Droit de la profession d'avocat, Berne 2009, n. 2962, p. 1170, et la jurisprudence citée ad n. 873 ; CREP 14 janvier 2022/36 ; CREP 16 octobre 2017/749 consid. 2.2 ; CREP 29 février 2016/146 précité). Cette indemnité sera réduite d’un quart pour tenir compte de la mesure dans laquelle le recours est admis et ainsi arrêtée à 1’608 fr., en chiffres arrondis, à la charge de l’Etat. Au vu de ce qui précède, la requête d’assistance judiciaire est sans objet. Par ces motifs, la Chambre des recours pénale prononce : I. Le recours est partiellement admis. II. L’ordonnance du 23 février 2023 est annulée s’agissant des infractions de contrainte et d’insoumission à une décision de l’autorité. L’ordonnance est confirmée pour le surplus. III. Le dossier de la cause est renvoyé au Ministère public de l’arrondissement de Lausanne pour qu’il procède dans le sens des considérants. IV. Les frais d’arrêt, par 1’870 fr. (mille huit cent septante francs), sont mis à raison d’un quart, soit par 467 fr. 50 (quatre cent soixante-sept francs et cinquante centimes), à la charge de A.N.________, le solde de 1’402 fr. 50 (mille quatre cent deux francs et cinquante centimes) étant laissé à la charge de l’Etat. V. Une indemnité réduite de 1’608 fr. (mille six cent huit francs) est allouée à A.N.________ pour les dépenses occasionnées par la procédure de recours, à la charge de l’Etat. VI. La requête d’assistance judiciaire de A.N.________ est sans objet.</w:t>
      </w:r>
    </w:p>
    <w:p>
      <w:r>
        <w:t>- 20 - VII. L’arrêt est exécutoire. La présidente : La greffière : Du Le présent arrêt, dont la rédaction a été approuvée à huis clos, est notifié, par l’envoi d’une copie complète, à : - Me Yann Oppliger (pour A.N.________),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