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PE23.001847 vom 23. Mai 2024</w:t>
      </w:r>
    </w:p>
    <w:p>
      <w:r>
        <w:t>VD Tribunal cantonal, 2024-05-23, FR</w:t>
      </w:r>
    </w:p>
    <w:p>
      <w:r>
        <w:rPr>
          <w:b/>
        </w:rPr>
        <w:t xml:space="preserve">Quelle: </w:t>
      </w:r>
      <w:r>
        <w:t>https://mcp.opencaselaw.ch/entscheid/vd_gerichte_PE23.001847</w:t>
      </w:r>
    </w:p>
    <w:p>
      <w:r>
        <w:t>FR: VD_GERICHTE PE23.001847 du 23 mai 2024</w:t>
      </w:r>
    </w:p>
    <w:p>
      <w:r>
        <w:t>IT: VD_GERICHTE PE23.001847 del 23 maggio 2024</w:t>
      </w:r>
    </w:p>
    <w:p>
      <w:pPr>
        <w:pStyle w:val="Heading2"/>
      </w:pPr>
      <w:r>
        <w:t>Erwägungen</w:t>
      </w:r>
    </w:p>
    <w:p>
      <w:r>
        <w:rPr>
          <w:b/>
        </w:rPr>
        <w:t>E. 21</w:t>
      </w:r>
    </w:p>
    <w:p>
      <w:r>
        <w:t>mai 2015 par le Ministère public de l’arrondissement de l’Est vaudois, pour violation des règles de la circulation, conduite d’un véhicule automobile en état d’ébriété avec un taux d’alcool qualifié dans le sang ou dans l’haleine et conduite d’un véhicule automobile malgré le refus, le retrait ou l’interdiction de l’usage du permis ; - une condamnation à une peine pécuniaire de 100 jours- amende à 30 fr. le jour-amende et à une amende de 100 fr., prononcée le 10 décembre 2015 par le Ministère public de l’arrondissement de l’Est vaudois, pour conduire un véhicule défectueux, conduite d’un véhicule automobile en état d’ébriété avec un taux d’alcool qualifié dans le sang ou dans l’haleine et violation des règles de la circulation ; - une condamnation à une peine pécuniaire de 50 jours- amende à 30 fr. le jour-amende, prononcée le 9 juin 2016 par le Ministère public de l’arrondissement de l’Est vaudois, pour conduite d’un véhicule automobile malgré le refus, le retrait ou l’interdiction de l’usage du permis ; - une condamnation à une peine de travail d’intérêt général de 240 heures, prononcée le 16 mai 2017 par le Tribunal de police de l’arrondissement de l’Est vaudois, pour lésions corporelles simples et menaces ; - une condamnation à une peine privative de liberté de sept mois, avec délai d’épreuve de cinq ans, et à une amende de 200 fr., prononcée le 12 février 2019 par le Tribunal correctionnel de l’arrondissement de l’Est vaudois, pour conduire un véhicule automobile en état d’ébriété avec un taux d’alcool qualifié dans le sang ou dans l’haleine, conduite d’un véhicule automobile malgré le refus, le retrait ou l’interdiction de l’usage du permis et violation des règles de la circulation. 2. 2.1 A Aigle, [...], puis à Vevey, à [...], entre le mois de juillet 2020, les faits antérieurs étant prescrits, et le 29 janvier 2023, J.________ a infligé deux gifles à B.________, avec laquelle il faisait ménage commun au moment des faits depuis environ deux ans malgré un domicile pris séparément en octobre 2022. Par le second de ces actes, il lui a causé à</w:t>
      </w:r>
    </w:p>
    <w:p>
      <w:r>
        <w:t>- 15 - un hématome à l’œil gauche, cette lésion étant attestée par une photographie (P. 53/1). B.________ a déposé plainte et s’est constituée partie civile le 30 janvier 2023. 2.2 A Vevey, à [...], au 2e étage, le 29 janvier 2023, vers 21h, alors qu’ils étaient fortement alcoolisés, une altercation a éclaté entre les concubins. En menaçant de mort B.________, le prévenu lui a appuyé sur le cou un couteau tiré de son sac et dont la lame lisse uni-tranchante, pointue à son extrémité, mesurait environ dix centimètres de long et deux centimètres de large. Ce faisant, il a causé à son amie des lésions superficielles au cou. Le prévenu a été blessé au majeur gauche au cours de l’altercation. Il a ensuite planté le couteau dans le ventre de B.________ alors qu’il la maintenait sur le canapé au moyen d’une main. Il l’a ainsi blessée à l’abdomen et à un doigt de la main droite alors qu’elle tentait de repousser le couteau. Il a enfin quitté les lieux en se réfugiant au 3e étage de l’immeuble, laissant son amie sans lui prêter secours et sans s’inquiéter de son état. Le résultat du dosage d’éthanol dans le sang et la détermination du taux d’alcool au moment critique indiquent que la quantité d’éthanol présente dans l’organisme du prévenu au moment critique était comprise au moins entre 2,71 et 3,64 g/kg. Il ressort d’un rapport établi le 17 mai 2023 par le Centre universitaire romand de médecine légale (CURML) sur la base d’un examen clinique pratiqué le 29 janvier 2023 en fin de soirée que B.________ a souffert de plaies superficielles sur le cou à gauche, d’une plaie abdominale sus-ombilicale d’une largeur d’environ un centimètre à un centimètre et demi, d’environ trois centimètres de long et d’une profondeur approximative de sept centimètres, à la face latéro-postérieure de l’épaule droite, d’une ecchymose violacée mesurant cinq centimètres sur deux centimètres et demi, ainsi que d’une plaie à l’index droit</w:t>
      </w:r>
    </w:p>
    <w:p>
      <w:r>
        <w:t>- 16 - mesurant environ un centimètre et demi de long. En outre, B.________ souffre, depuis les faits, d’un état de stress post-traumatique (P. 44). 2.3 B.________ a déposé plainte et s’est constituée partie civile le 30 janvier 2023. Elle a pris des conclusions civiles les 16 et 17 mai 2024 (P. 157/2 et 159). En d roit : 1. Interjetés dans les formes et délais légaux (art. 385 et 399 CPP), par des parties ayant qualité pour recourir (art. 382 al. 1 CPP) contre le jugement d’un tribunal de première instance qui a clos la procédure (art. 398 al. 1 CPP), les appels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6B_581/2022 du 8 février 2023 consid. 2.4.8 ; TF 6B_238/2020 du 14 décembre 2020 consid. 3.2 ; TF 6B_481/2020 du 17 juillet 2020 consid. 1.2). 3. Appel de J.________</w:t>
      </w:r>
    </w:p>
    <w:p>
      <w:r>
        <w:t>- 17 - 3.1 Le prévenu conteste le concours d’infractions entre la tentative de meurtre et la mise en danger de la vie d’autrui. Il fait valoir que le concours réel est exclu si les différents actes commis forment une unité juridique d’actions. Il plaide aussi le concours imparfait, relevant que les infractions de lésions priment sur les infractions de mise en danger. Les faits ayant été commis en une à deux minutes, dans le cadre d’une même dispute, par un prévenu fortement alcoolisé qui en gardait un souvenir flou, l’appelant critique le raisonnement des premiers juges dans la mesure où ont été retenues deux phases distinctes sur la base de l’évolution de sa volonté, à savoir l’apposition du couteau sur le cou de la plaignante, d’abord, et le coup de couteau dans le ventre, ensuite. Il est d’avis qu’en tout état de cause, la tentative de meurtre doit absorber la mise en danger de la vie d’autrui. 3.2 3.2.1 Il y a concours réel en cas de concours d'infractions, c'est-à- dire lorsque, par plusieurs actes, l'auteur commet plusieurs infractions. Il y a concours idéal, lorsque, par un seul acte ou un ensemble d'actes formant un tout, l'auteur enfreint plusieurs dispositions pénales différentes, dont aucune ne saisit l'acte délictueux sous tous ses aspects (ATF 133 IV 297 consid. 4.1). Pour déterminer s'il y a concours idéal entre deux infractions ou si, au contraire, l'une d'elles absorbe l'autre, la question pertinente est de savoir si les biens juridiques protégés par chacune d'elles se recouvrent. S'ils ne se recouvrent pas ou pas entièrement, aucune des deux infractions ne saisit le comportement de l'auteur sous tous ses aspects, de sorte que toutes deux doivent être retenues (ATF 133 IV 297 consid. 4.2; TF 6B_193/2021 et 6B_199/2021 du 30 septembre 2021 consid. 3.1.2). 3.2.2 L'unité juridique d'actions existe lorsque le comportement défini par la norme présuppose, par définition, de fait ou typiquement,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w:t>
      </w:r>
    </w:p>
    <w:p>
      <w:r>
        <w:t>- 18 - CP). La commission d'actes séparés ou le comportement durable doivent, expressément ou implicitement, ressortir de la définition légale de l'infraction, celle-ci devant être exercée en des moments différents (ATF 149 IV 240 consid. 3.1). Quant à l'unité naturelle d'actions, elle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149 IV 240 consid. 3.1 ; TF 6B_913/2023 et 6B_917/2023 du 10 octobre 2024 consid. 4.3 ; TF 6B_582/2023 du 12 septembre 2023 consid. 1.3). La notion d'unité naturelle d'actions doit être interprétée restrictivement (ATF 133 IV 256 consid. 4.5.3; TF 6B_1214/2021 du 26 octobre 2022 consid. 2.1.5 ; TF 6B_261/2021 du 2 février 2022 consid. 2.1.3). Dans son arrêt du 26 octobre 2022 précité (TF 6B_1214/2021, ibid.), le Tribunal fédéral a en particulier considéré ce qui suit : « Lorsque des infractions ont été commises par métier à des époques distinctes sans qu'on puisse affirmer qu'elles procèdent toutes d'une décision unique, on doit admettre que les règles sur le concours réel (art. 49 al. 1 CP) s'appliquent à ces séries successives d'infractions (ATF 116 IV 121 consid. 2b/aa). Il y a lieu de se référer aux notions d'unités juridique et naturelle d'actions, telles que développées par la jurisprudence (TF 6B_36/2019 du 2 juillet 2019 consid. 3.6.4). ». 3.2.3 L'art.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(TF 6B_1326/2022 du 29</w:t>
      </w:r>
    </w:p>
    <w:p>
      <w:r>
        <w:t>- 19 - novembre 2023 consid. 2.1.1 ; TF 6B_115/2023 du 5 septembre 2023 consid. 1.1.1 ; TF 6B_386/2022 du 20 décembre 2022 consid. 2.1).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6B_115/2023 précité consid. 1.1.1 ; TF 6B_859/2022 du 6 mars 2023 consid. 2.1 ; TF 6B_386/2022 précité consid. 2.1). Il doit en outre s'agir d'un danger de mort, et non pas seulement d'un danger pour la santé ou l'intégrité corporelle (ATF 133 IV 1 consid. 5.1 ; TF 6B_115/2023 précité consid. 1.1.1 ; TF 6B_859/2022 précité consid. 2.1 ; TF 6B_386/2022 précité consid. 2.1).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 TF 6B_115/2023 précité consid. 1.1.1 ; TF 6B_859/2022 précité consid. 2.1 ; TF 6B_386/2022 précité consid. 2.1). L'immédiateté disparaît ou s'atténue lorsque s'interposent ou surviennent des actes ou d'autres éléments extérieurs (ATF 106 IV 12 consid. 2a ; TF 6B_115/2023 précité consid. 1.1.1 ; TF 6B_859/2022 précité consid. 2.1 ; TF 6B_386/2022 précité consid. 2.1).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cf. ATF 133 IV 1 consid. 5.1).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w:t>
      </w:r>
    </w:p>
    <w:p>
      <w:r>
        <w:t>- 20 - d'autrui (TF 6B_115/2023 précité consid. 1.1.1 ; TF 6B_859/2022 précité consid. 2.1 ; TF 6B_386/2022 précité consid. 2.1). Plus le danger connu de l'auteur est grand et moins ses mobiles méritent attention, plus l'absence de scrupules apparaît comme évidente (ATF 107 IV 163 consid. 3 ; TF 6B_115/2023 précité consid. 1.1.1 ; TF 6B_859/2022 précité consid. 2.1 ; TF 6B_386/2022 précité consid. 2.1).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 TF 6B_115/2023 précité consid. 1.1.1 ; TF 6B_859/2022 précité consid. 2.1 ; TF 6B_386/2022 précité consid. 2.1).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6B_1326/2022 du 29 novembre 2023 consid. 2.1.1 et les réf. citées). 3.2.4 La tentative de meurtre (art. 22 al. 1 CP ad art. 111 CP) se distingue de la mise en danger de la vie d'autrui par le contenu de l'intention de l'auteur. Si l'auteur adopte volontairement un comportement qui crée un danger de mort imminent pour autrui, mais refuse, même à titre éventuel, la réalisation de ce risque, il conviendra d'appliquer l'art. 129 CP. L'acceptation de la réalisation du risque conduit, en revanche, à admettre un homicide intentionnel ou une tentative d'homicide intentionnel (ATF 107 IV 163 consid. 3 ; TF 6B_1117/2016 du 18 juillet 2017 ; TF 6B_876/2015 du 2 mai 2016 consid. 2.1, non publié in ATF 142 IV 245). 3.3 En l’espèce, il est reproché au prévenu deux actes distincts mais rapprochés dans le temps, à savoir, d’abord, d’avoir posé le couteau</w:t>
      </w:r>
    </w:p>
    <w:p>
      <w:r>
        <w:t>- 21 - contre le cou de la plaignante et, ensuite, de le lui avoir planté dans le ventre, ces deux actes constituant, selon le Tribunal correctionnel, autant d’infractions séparées. Certes, la tentative (délibérée) de meurtre implique la mise en danger de la vie de la victime, précisément puisque l’auteur veut en réalité la supprimer ; c’est du reste un raisonnement du même ordre qui conduit à nier le concours d’infractions entre les lésions corporelles graves et la mise en danger de la vie d’autrui (ATF 91 IV 193, JdT 1966 IV 34). Pour autant, « torturer » la victime en lui faisant peur avant de commettre l’acte voulu fatal constitue un comportement qui n’est pas « indispensable » à ce dernier. Partant, il justifie une aggravation de la sanction. Aussi, soit cet acte est englobé juridiquement dans la tentative de meurtre, soit il est qualifié à part. L’intention de l’auteur est un critère déterminant à cet égard. Le fait que plusieurs infractions distinctes soient commises dans une unité de temps et de décision n’empêche pas de retenir un concours réel ; ainsi, celui qui brise une porte puis entre dans un logement pour commettre un cambriolage peut être condamné pour (tentative de) vol, dommages à la propriété et violation de domicile. Dans le cas particulier, rien ne permet de retenir que l’auteur nourrissait déjà un dessein homicide au moment où il a mis son couteau sur la gorge de la victime. En particulier, le fait qu’il lui a, peu après, asséné un coup de couteau dans le ventre ne permet pas de déduire a posteriori l’existence d’une telle intention au début des faits. Distinctement séparés, les deux actes procèdent ainsi d’autant de décisions indépendantes l’une de l’autre, même si rapprochées dans le temps. A défaut d'unité naturelle d'actions et, à plus forte raison, d'unité juridique d'actions, ils ne sauraient dès lors être réprimés par une seule disposition pénale, singulièrement celle de tentative de meurtre. C’est ainsi à juste titre que le Tribunal correctionnel a retenu le concours (réel) d’infractions entre la tentative de meurtre et la mise en danger de la vie d’autrui, plutôt que l’absorption, dite aussi concours imparfait ou improprement dit, de cette infraction-ci par celle-là (jugement, p. 47). Le grief doit dès lors être rejeté.</w:t>
      </w:r>
    </w:p>
    <w:p>
      <w:r>
        <w:t>- 22 - 4. 4.1 Se référant à d’autres affaires, le prévenu estime la peine réprimant la tentative de meurtre trop lourde, eu égard à sa responsabilité diminuée dans une mesure moyenne à dire d’expert. Il relève que le Ministère public avait aussi envisagé une peine beaucoup plus légère, puisqu’il l’avait renvoyé devant une cour correctionnelle à la compétence limitée à six ans de privation de liberté avant que ne soit réalisée l’expertise psychiatrique. Comme le Tribunal correctionnel a estimé que la tentative de meurtre justifiait théoriquement une peine privative de liberté de dix ans qui devait être réduite de 60 % pour arriver à quatre ans, l’appelant fait le même raisonnement en partant d’une peine de cinq ans réprimant la tentative de meurtre, et demande donc que la peine de base soit fixée à deux ans, estimant que l’interdiction de la reformatio in pejus interdit de remettre en cause le pourcentage de la réduction eu égard à la diminution de sa responsabilité. L’appelant considère ensuite que cette peine de deux ans doit être augmentée d’un mois pour réprimer les lésions corporelles simples qualifiées, en estimant implicitement que l’acte ayant consisté à placer le couteau dans le cou ne justifie aucune aggravation de la peine. Enfin, il conviendrait d’ajouter la peine de sept mois résultant de la révocation du sursis, d’où une peine d’ensemble de 32 mois. 4.2 4.2.1 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w:t>
      </w:r>
    </w:p>
    <w:p>
      <w:r>
        <w:t>- 23 -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précité consid. 5.7 ; TF 6B_746/2022 du 30 mars 2023 consid. 4.2 ; TF 6B_151/2022 du 10 novembre 2022 consid. 2.2). 4.2.2 La prohibition de la reformatio in pejus, dont le but est de permettre au prévenu d'exercer son droit de recours sans craindre de voir le jugement modifié en sa défaveur (ATF 143 IV 469 consid. 4.1 ; ATF 142 IV 89 consid. 2.1), est consacrée par l'art. 391 al. 2 CPP. Cette disposition prévoit que l'autorité de recours ne peut modifier une décision au détriment du prévenu ou du condamné si le recours a été interjeté uniquement en leur faveur. L'existence d'une reformatio in pejus doit être examinée à l'aune du dispositif (ATF 147 IV 167 précité consid. 1.5.2 ; ATF 142 IV 129 consid. 4.5). 4.3 D’abord, il faut rejeter les arguments de l’appelant relatifs à la position du Ministère public tendant à son renvoi en correctionnelle « simple » ou à la réduction de la peine de 60 % prononcée. En effet, ces considérations ne lient pas la cour de céans. Seule la peine prononcée telle que prévue par le dispositif du jugement attaqué est soumise à interdiction de la reformatio in pejus (cf. les arrêts cités au consid. 4.2.2 ci- dessus). Ensuite, le Tribunal correctionnel a pris soin de relever, au moment de qualifier les faits, qu’il veillerait à ce que le prévenu ne soit pas plus sévèrement puni en raison du concours de la tentative de</w:t>
      </w:r>
    </w:p>
    <w:p>
      <w:r>
        <w:t>- 24 - meurtre avec la mise en danger de la vie d’autrui que si la première infraction seule avait été retenue pour le motif que l’intention homicide aurait déjà existé au moment où le couteau avait été placé sur le cou de la victime (jugement, p. 47). Cette appréciation est conforme à la jurisprudence fédérale sur l’art. 49 al. 1 CP. Fixant la quotité de la peine, les premiers juges ont considéré que la culpabilité du prévenu serait écrasante si sa responsabilité avait été entière, dès lors qu’il avait fait preuve d’une totale absence de scrupule et de considération à l’endroit de sa compagne. A charge, ils ont relevé le concours d’infractions et les mauvais antécédents du prévenu ; à décharge, ils ont pris en compte les regrets exprimés, qui ont paru sincères, l’admission de la prétention pour tort moral de la demanderesse et son parcours de vie difficile, même si cela faisait partie des éléments justifiant les conclusions de l’expertise psychiatrique. Au vu de la diminution moyenne de responsabilité, la culpabilité est apparue comme encore très lourde. Le Tribunal correctionnel a estimé que la tentative de meurtre aurait justifié une peine privative de liberté de dix ans en pleine responsabilité et que, dans le cas présent, une peine privative de liberté de quatre ans constituait une peine adéquate. Avec la part de peine de sept mois résultant de la révocation du sursis et le concours de l’infraction de tentative de meurtre avec celles de lésions corporelles simples qualifiées et de mise en danger de la vie d’autrui, la peine d’ensemble devait être fixée à cinq ans (jugement, p. 48- 50). 4.4 Le prévenu a délibérément, et non pas par dol éventuel seulement, tenté de tuer son amie. Si le résultat escompté ne s’est pas produit, ce n’est pas grâce à un quelconque acte de repentir de l’auteur, qui a quitté les lieux sans se soucier du sort de la victime. C’est bien plutôt cette dernière qui a réussi à alerter les secours, ce au moyen du téléphone du prévenu, car ce dernier avait, avant de la poignarder, jeté le sien contre le mur pour l’empêcher d’appeler la police (PV aud. 2). Cet acte a été commis dans le cadre – certes émotionnel – d’une relation de couple mais sans aucun motif. En effet, le prévenu est incapable d’avancer une autre explication que le fait qu’il s’était lui-même, peu avant d’asséner le coup de couteau en cause, blessé au doigt dans le cadre de l’altercation.</w:t>
      </w:r>
    </w:p>
    <w:p>
      <w:r>
        <w:t>- 25 - Si la plaignante était décédée, le comportement incriminé aurait justifié une peine privative de liberté de 14 ans au minimum, dès lors que la tentative ne s’est concrétisée que par un geste impulsif et exempt d’acharnement. Cela étant, il y a lieu de prendre en compte à décharge, à titre complémentaire, l’acquiescement de l’appelant aux conclusions civiles de l’intimée en procédure d’appel qui s’ajoute à son adhésion aux conclusions en réparation du tort moral dirigées contre lui en première instance déjà. Vu ce qui précède, le fait qu’il s’agisse d’une tentative ne justifie qu’un allègement léger en application de l’art. 22 al. 1 CP, la peine devant être ramenée à neuf ans. La diminution moyenne de responsabilité de l’auteur commande d’apprécier avec plus de compréhension la culpabilité du prévenu en application de l’art. 19 al. 2 CP. La Cour fait sienne la motivation du Tribunal correctionnel sur ce point. Elle estime cependant qu’une diminution de 50 % est suffisante, ce qui amène, selon le choix opéré, à une peine d’une quotité de quatre ans et six mois. Il faut ajouter, selon le principe de l'aggravation contenu à l'art. 49 CP, la part de peine réprimant la mise en danger de la vie d’autrui, qui commande une aggravation de six mois. Il faut encore alourdir la peine pour tenir compte des lésions corporelles causées et de la révocation du sursis. Dans tous les cas, la quotité ainsi déterminée dépasse alors la peine d’ensemble de cinq ans prononcée en première instance. Néanmoins, eu égard à l’interdiction de la reformatio in pejus, la Cour de céans ne peut que la confirmer. 5. La détention subie depuis le jugement de première instance doit être déduite (art. 51 CP). Le prévenu sera maintenu en détention pour des motifs de sûreté afin de garantir l’exécution de la peine prononcée (art. 220 al. 2 CPP). En effet, le risque de fuite est avéré (art. 221 al. 1 let. a CPP). Il s’agit d’un étranger dont il y a lieu de craindre qu’il regagne son pays afin d’échapper à la justice suisse au bénéfice de la non-extradition des nationaux. Il en est d’autant ainsi que le prévenu a expressément fait savoir à l’audience de première instance qu’il « envisage[ait] de retourner en France vivre chez sa mère » (jugement, p. 16, 2e par. in initio). A cela s’ajoute un risque de récidive important (art. 221 al. 1 let. c CPP) souligné par l’expertise psychiatrique, aussi longtemps que le traitement ambulatoire préconisé par les experts n’aura pas pu produire ses effets. A</w:t>
      </w:r>
    </w:p>
    <w:p>
      <w:r>
        <w:t>- 26 - cet égard, le prévenu a reconnu que sa détention n’avait, pour l’heure, pas permis un traitement idoine, relevant même, à l’audience d’appel, qu’il n’a pas de nouvelles de son psychiatre, qu’il ne peut pas prendre contact avec lui et que « [l]a psychiatre de la prison reconnait qu’elle ne peut rien faire ». Du reste, il ne s’oppose pas formellement à sa détention pour des motifs de sûreté. 6. 6.1 Le prévenu conteste le prononcé d’un traitement ambulatoire. Il reproche aux premiers juges de s’être écarté de l’avis de l’experte Cocciolo qui, entendue aux débats de première instance, a, comme déjà indiqué, fait savoir qu’une injonction judiciaire était contre-indiquée médicalement. Il soutient n’avoir pas à pâtir du fait qu’en raison des carences du système carcéral, un traitement sur une base volontaire n’est pas possible en détention. Il fait valoir enfin qu’il est important pour lui de pouvoir choisir son thérapeute et rappelle qu’il avait déjà entamé un suivi. 6.2 Le juge peut ordonner un traitement des addictions ou un traitement ambulatoire aux conditions des art. 60 CP, respectivement 63 CP. Il doit se fonder sur une expertise, qui doit notamment se prononcer sur la nécessité et les chances de succès d’un traitement (art. 56 al. 3 CP). 6.3 C’est à juste titre que l’appelant fait valoir que l’expertise ne retient pas d’indication médicale pour un traitement obligatoire. Selon le rapport, en effet, une injonction pénale de soins n’est, selon toute vraisemblance, pas susceptible « d’accroître la diminution du risque » (P. 139, p. 22-23). Aux débats, l’experte a, comme déjà relevé, précisé expressément que contraindre le prévenu à un traitement serait contre- productif (jugement, p. 13-14). Sans ignorer la position des experts, les premiers juges estimé que le traitement préconisé était absolument indispensable pour diminuer le risque de récidive, ajoutant qu’il était nécessaire qu’il soit mis en place dans le cadre de l’exécution de la peine et non seulement à la sortie de prison. Or il y avait lieu de craindre que cette thérapie ne puisse être</w:t>
      </w:r>
    </w:p>
    <w:p>
      <w:r>
        <w:t>- 27 - dispensée de façon effective sans décision du tribunal, ce qui serait préjudiciable au prévenu lui-même, qui disait vouloir de ce traitement, à ses perspectives de libération conditionnelle et à la protection de l’ordre public une fois le condamné sorti de détention (jugement, p. 51-52). Ce raisonnement ne peut être suivi. Sur la base de l’avis exprimé sans réserve par l’experte Cocciolo à l’audience de première instance (jugement, p. 13 in fine), il faut en effet laisser le prévenu prendre l’initiative de se faire soigner, la contrainte étant contre- productive en la matière, ce nonobstant le fait que sa détention n’avait pas permis un traitement idoine, l’intéressé relevant même, comme déjà relevé, qu’il n’a pas de nouvelles de son psychiatre, qu’il ne peut pas prendre contact avec lui et que « [l]a psychiatre de la prison reconnait qu’elle ne peut rien faire ». L’appel de J.________ doit être admis dans cette mesure. 7. Appel de B.________ 7.1 La plaignante formule des conclusions relatives au coût du téléphone cassé par le prévenu durant la dispute, par 120 fr., ainsi qu’au remplacement de son canapé taché de sang, par 469 francs. En revanche, elle a retiré sa conclusion d’appel portant sur le coût du traitement dispensé par la Dre Sarmiento, à raison de 628 fr. 35 en 2023 et de 745 fr. 45 en 2024. 7.2 A l’audience d’appel, le défendeur J.________ a adhéré aux conclusions réduites de la demanderesse B.________ selon le procédé du</w:t>
      </w:r>
    </w:p>
    <w:p>
      <w:r>
        <w:rPr>
          <w:b/>
        </w:rPr>
        <w:t>E. 25</w:t>
      </w:r>
    </w:p>
    <w:p>
      <w:r>
        <w:t>novembre 2024. Ces conclusions sont du reste étayées par les pièces justificatives produites. Partant, J.________ est débiteur de B.________ du montant de 589 fr., avec intérêt à 5 % l’an dès le 29 janvier 2023. L’appel de l’intimée doit ainsi être admis. Les conclusions civiles (réduites) de la demanderesse étant admises, la requête d’assistance judiciaire complète assortissant l’appel</w:t>
      </w:r>
    </w:p>
    <w:p>
      <w:r>
        <w:t>- 28 - doit l’être également (art. 136 al. 1 let. a CPP), ce qui implique la désignation de Me Gruber en qualité de conseil juridique gratuit pour la procédure d’appel (art. 136 al. 2 let. c CPP). 8. L’émolument d’appel, par 2’820 fr. (art. 21 al. 1 et 2 TFIP [tarif des frais de procédure et indemnités en matière pénale du 28 septembre 2010 ; RSV 312.03.1]), sera mis à raison des quatre cinquièmes à la charge de l’appelant J.________, qui succombe dans une large mesure (art. 428 al. 1 CPP), le solde étant laissé à la charge de l’Etat. Outre l’émolument, les frais d’appel comprennent les indemnités allouées aux défenseurs d’office successifs du prévenu et celle octroyée au conseil juridique gratuit de la plaignante (art. 422 al. 2 let. a CPP). L’indemnité allouée à Me Gutowski, premier défenseur d’office du prévenu, doit être arrêtée sur la base de la liste d’opérations produite le 30 juillet 2024 (P. 186/1), à cette réserve près qu’il y lieu de retrancher une durée de deux heures et 30 minutes de celle de dix heures et 42 minutes figurant sur la liste, à savoir les postes « Recherche de jurisprudence du Tribunal cantonal » (25.06.2024, avocat stagiaire), « Recherche doctrinales et jurisprudentielles et rédaction de la déclaration d’appel » (26.06.2024, avocat stagiaire) et « Finalisation mémoire d’appel » (03.07.2024, avocat breveté). Ces postes sont en effet redondants par rapport à d’autres activités indemnisées par ailleurs. Ex aequo et bono, seul le tarif applicable aux avocats breveté sera pris en compte. Les honoraires nets s’élèvent ainsi à 1'476 fr. sur la base d’une durée d’activité utile d’avocat de huit heures et douze minutes. A ces honoraires, il convient d’ajouter des débours forfaitaires à concurrence de 2 % (art. 3bis al. 1 RAJ [règlement du 7 décembre 2010 sur l'assistance judiciaire en matière civile ; BLV 211.02.3], applicable par renvoi de l’art. 26b TFIP), ainsi que la TVA. L’indemnité s’élève donc à 1'627 fr. 45, débours et TVA compris.</w:t>
      </w:r>
    </w:p>
    <w:p>
      <w:r>
        <w:t>- 29 - Pour sa part, l’indemnité allouée à Me Sottas doit être arrêtée sur la base d’une durée d’activité utile de neuf heures. Il y a en effet lieu de retrancher de la liste d’opérations produite à l’audience d’appel (P. 196) les postes « Reprise du dossier et préparation plaidoirie » (30.11.2024) et « Entrevue avec le client avant et après l’audience (estimation) » (04.12.2024). D’une part, le dossier était connu de la mandataire pour avoir été plaidé en première instance déjà et, d’autre part, la liste comporte deux autres entrevues avec le mandant durant la procédure d’appel, soit les 1er et 2 décembre 2024, pour une durée totale de deux heures et 20 minutes, de sorte qu’une durée supplémentaire de</w:t>
      </w:r>
    </w:p>
    <w:p>
      <w:r>
        <w:rPr>
          <w:b/>
        </w:rPr>
        <w:t>E. 30</w:t>
      </w:r>
    </w:p>
    <w:p>
      <w:r>
        <w:t>minutes à ce titre ne saurait qu’être redondante. En outre, l’audience d’appel n’a duré qu’une heure, alors que l’estimation figurant sur la liste est de deux heures ; une déduction de 45 minutes seulement à ce titre tiendra équitablement compte du retard de dix minutes à l’ouverture de l’audience. Au tarif de 180 fr. de l’heure, le total des opérations retenues correspond ainsi à des honoraires nets de 1'620 francs. A ces honoraires, il convient également d’ajouter des débours forfaitaires à concurrence de 2 %. A ces honoraires bruts de 1'652 fr. 40 doivent être ajoutées trois vacations forfaitaires de 120 fr., pour autant de visites en détention et une vacation de 120 fr. également pour l’audience d’appel, ainsi que la TVA. L’indemnité s’élève donc à 2'305 fr. 10, débours et TVA compris. Enfin, l’indemnité allouée à Me Gruber doit être arrêtée sur la base de la durée d’activité figurant sur la liste d’opérations (P. 197), soit quatre heures et 50 minutes. Au tarif de 180 fr. de l’heure, le total des opérations retenues correspond ainsi à des honoraires nets de 870 francs. A ces honoraires, il convient également d’ajouter des débours forfaitaires à concurrence de 2 %. A ces honoraires bruts de 887 fr. 40 doivent être ajoutées une vacation forfaitaire de 120 fr., pour l’audience d’appel, ainsi que la TVA. L’indemnité s’élève donc à 1'089 fr., débours et TVA compris.</w:t>
      </w:r>
    </w:p>
    <w:p>
      <w:r>
        <w:t>- 30 - J.________ est tenu de rembourser à l’Etat de Vaud les quatre cinquièmes des indemnités mentionnées ci-dessus dès que sa situation financière le permet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