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PE23.001663 vom 8. November 2024</w:t>
      </w:r>
    </w:p>
    <w:p>
      <w:r>
        <w:t>VD Tribunal cantonal, 2024-11-08, FR</w:t>
      </w:r>
    </w:p>
    <w:p>
      <w:r>
        <w:rPr>
          <w:b/>
        </w:rPr>
        <w:t xml:space="preserve">Quelle: </w:t>
      </w:r>
      <w:r>
        <w:t>https://mcp.opencaselaw.ch/entscheid/vd_gerichte_PE23.001663</w:t>
      </w:r>
    </w:p>
    <w:p>
      <w:r>
        <w:t>FR: VD_GERICHTE PE23.001663 du 8 novembre 2024</w:t>
      </w:r>
    </w:p>
    <w:p>
      <w:r>
        <w:t>IT: VD_GERICHTE PE23.001663 del 8 novembre 2024</w:t>
      </w:r>
    </w:p>
    <w:p>
      <w:pPr>
        <w:pStyle w:val="Heading2"/>
      </w:pPr>
      <w:r>
        <w:t>Erwägungen</w:t>
      </w:r>
    </w:p>
    <w:p>
      <w:r>
        <w:rPr>
          <w:b/>
        </w:rPr>
        <w:t>E. 1</w:t>
      </w:r>
    </w:p>
    <w:p>
      <w:r>
        <w:t>R.________ est né le [...] 1962 à [...], où il a grandi avec sa mère et ses deux petites sœurs. Son père est décédé lorsqu’il avait cinq ans. Il y a effectué sa scolarité obligatoire, avant d’entreprendre avec succès une formation d’ingénieur. Il a exercé dans ce domaine durant cinq ans, avant de suivre une nouvelle formation en informatique à l’école polytechnique. Il a alors obtenu un diplôme d’ingénieur en systèmes de communication. Il a travaillé dans le domaine de la téléphonie durant plusieurs années, en France, puis en Suisse, avant d’entreprendre un MBA en gestion d’entreprise et de travailler quelques années dans ce domaine. En 2009, il a été embauché à la télévision suisse romande, où il a piloté un projet informatique, qui l’a poussé à s’intéresser au droit de la propriété intellectuelle. Après avoir suivi un cours dans ce domaine en tant qu’auditeur, il a entrepris un bachelor en droit et un master en droit informatique, obtenu en 2016. R.________ travaille actuellement en qualité d’auxiliaire pour la ville d’[...] à 30 %. Il est notamment chargé de la surveillance des jardins familiaux. Son revenu pour cette activité se situe entre 1'800 fr. et 2'400 fr. net par mois. Ce montant comprend les allocations familiales à hauteur de 800 fr. par mois. Marié à J.________, R.________ est le père de deux enfants de 17 et 19 ans, qui sont encore à la charge du couple. Son épouse est au chômage et a déposé une demande auprès de l’assurance- invalidité. Elle perçoit environ 1'200 fr. du chômage. Le couple est propriétaire de son logement, dont la valeur fiscale est de 480'000 fr., et a une dette hypothécaire d’environ 600'000 francs. Ce logement leur coûte environ 2'000 fr. par mois. R.________ dispose d’économies pour environ 50'000 francs. Il n’a pas de dette. Ses impôts se sont élevés à 380 fr. au total l’année passée. Son assurance-maladie est subsidiée et lui coûte 20 fr. par mois.</w:t>
      </w:r>
    </w:p>
    <w:p>
      <w:r>
        <w:t>- 4 - Le casier judiciaire du prévenu comporte l’inscription suivante : - 17 août 2018, Ministère public de l’arrondissement du Nord vaudois, délit contre la loi sur l’assurance-chômage, peine pécuniaire de 20 jours-amende à 30 fr., avec sursis pendant 2 ans, et amende de 200 francs.</w:t>
      </w:r>
    </w:p>
    <w:p>
      <w:r>
        <w:rPr>
          <w:b/>
        </w:rPr>
        <w:t>E. 1.1</w:t>
      </w:r>
    </w:p>
    <w:p>
      <w:r>
        <w:t>Interjeté dans les formes et délais légaux (art. 399 et 401 CPP [Code de procédure pénale suisse du 5 octobre 2007 ; RS 312.0]), contre le jugement d’un tribunal de première instance qui a clos la procédure (art. 398 al. 1 CPP) et par le prévenu qui a la qualité pour recourir (art. 382 al. 1 CPP), l’appel d’R.________ est recevable.</w:t>
      </w:r>
    </w:p>
    <w:p>
      <w:r>
        <w:rPr>
          <w:b/>
        </w:rPr>
        <w:t>E. 1.2</w:t>
      </w:r>
    </w:p>
    <w:p>
      <w:r>
        <w:t>Dès lors que la présence du prévenu aux débats d’appel n’est pas indispensable et que l’appel est dirigé contre un jugement rendu par un juge unique, la cause est traitée en procédure écrite conformément à l'art. 406 al. 2 CPP, avec l’accord des parties.</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w:t>
      </w:r>
    </w:p>
    <w:p>
      <w:r>
        <w:rPr>
          <w:b/>
        </w:rPr>
        <w:t>E. 3.1</w:t>
      </w:r>
    </w:p>
    <w:p>
      <w:r>
        <w:t>L’appelant conteste sa condamnation pour escroquerie au motif qu’il n’aurait pas fait usage d’astuce pour tromper les services sociaux. Il admet ne pas avoir déclaré plusieurs comptes bancaires, mais fait valoir que les autorités auraient pu en découvrir aisément l’existence, de sorte que la tromperie ne serait pas astucieuse. Il soutient avoir oublié l’existence du compte UBS et, s’agissant de ses comptes BCV, qu’il les</w:t>
      </w:r>
    </w:p>
    <w:p>
      <w:r>
        <w:t>- 6 - utilisait pour des opérations de trading, si bien qu’il ne s’agissait pas de revenus.</w:t>
      </w:r>
    </w:p>
    <w:p>
      <w:r>
        <w:rPr>
          <w:b/>
        </w:rPr>
        <w:t>E. 3.2</w:t>
      </w:r>
    </w:p>
    <w:p>
      <w:r>
        <w:t>; ATF 142 IV 153 consid. 2.2.2). Il y a notamment manœuvre frauduleuse lorsque l'auteur fait usage de titres falsifiés ou obtenus sans droit ou de documents mensongers (ATF 128 IV 18 consid. 3a ; TF 6B_1365/2022 du 25 janvier 2024 consid. 5.1.1 ; TF 6B_1290/2022 du 7 juillet 2023 consid. 1.4.1 ; TF 6B_162/2022 du 9 janvier 2023 consid. 1.1.1 ; TF 6B_653/2021 précité consid. 1.4.3).</w:t>
      </w:r>
    </w:p>
    <w:p>
      <w:r>
        <w:t>- 7 - Selon la jurisprudence, la tromperie portant sur la volonté d'exécuter une prestation, en particulier sur le fait de prétendre être disposé à payer, constitue en principe une tromperie astucieuse, étant donné qu'elle se rapporte à des faits internes qui, par essence, ne peuvent être directement vérifiés par le cocontractant (ATF 147 IV 73 consid. 3.3 ; TF 6B_666/2023 du 29 janvier 2024 consid. 1.3.1). L'astuce ne fait alors défaut que si les affirmations de l'auteur concernant sa volonté d'exécuter sa prestation sont indirectement susceptibles de faire l'objet de vérifications portant sur sa capacité à s'exécuter et si, à l'aune des vérifications que l'on pouvait raisonnablement attendre de la part de la dupe, celle-ci aurait pu ou dû se rendre compte que l'auteur ne disposait pas d'une telle capacité. Cette approche découle de l'idée selon laquelle quiconque n'a manifestement pas la capacité d'exécuter sa prestation ne peut pas non plus avoir de volonté sérieuse de s'exécuter (ATF 147 IV 73 consid. 3.3 et les références citées ; TF 6B_958/2021 précité consid. 6.1.3).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 Selon le Tribunal fédéral, la définition générale de l’astuce est également applicable à l’escroquerie en matière d’assurances et d’aide sociales. L’autorité agit de manière légère lorsqu’elle n’examine pas les pièces produites ou néglige de demander à celui qui requiert des prestations les documents nécessaires afin d’établir ses revenus et sa fortune, comme sa déclaration fiscale, une décision de taxation ou des extraits de ses comptes bancaires. En revanche, compte tenu du nombre</w:t>
      </w:r>
    </w:p>
    <w:p>
      <w:r>
        <w:t>- 8 -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6B_1180/2022 du 15 juin 2023 consid. 3.1 et les réf. citées).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(TF 6B_1044/2023 du 20 mars 2024 consid. 2.1).</w:t>
      </w:r>
    </w:p>
    <w:p>
      <w:r>
        <w:rPr>
          <w:b/>
        </w:rPr>
        <w:t>E. 3.3</w:t>
      </w:r>
    </w:p>
    <w:p>
      <w:r>
        <w:t>Le premier juge a considéré que le prévenu avait adopté un comportement actif de tromperie en cachant sciemment une dizaine de comptes bancaires, alors qu’il en avait déclaré d’autres, tout en continuant à exercer une activité de trading, qu’il n’a jamais mentionnée au CSR. Le prévenu ne pouvait ignorer la fraude ainsi commise, dès lors qu’il avait déjà bénéficié du RI par le passé et qu’il possédait des connaissances juridiques détaillées eu égard à son parcours professionnel. Ce raisonnement doit être suivi. Les services sociaux n’avaient aucun motif de suspecter l’existence des comptes bancaires qui n’avaient pas été annoncés par l’appelant, puisque ces comptes n’étaient pas en relation avec des activités lucratives connues de l’autorité et que l’appelant en a déclaré d’autres. Ils ignoraient ainsi que celui-ci exerçait une activité de trading et n’avaient aucun indice pour la soupçonner. C’est en vain que l’appelant soutient que les gains ainsi procurés n’avaient pas à être annoncés au CSR faute d’être considérés comme des revenus sur le plan fiscal. En effet, il appartenait aux services compétents d’en décider sur la base d’une communication des informations patrimoniales conforme à la vérité, ce qui n’a pas été le cas. L’appelant a donc bien fait preuve</w:t>
      </w:r>
    </w:p>
    <w:p>
      <w:r>
        <w:t>- 9 - d’astuce, dès lors qu’il avait l’obligation de faire état de tous ses avoirs et qu’il en a dissimulé certains sans que les services sociaux ne puissent le soupçonner. Il s’agit d’une tromperie active car l’appelant avait l’obligation d’annoncer toute modification de sa situation financière. Il est en outre établi, par un décompte qui n’est pas contesté, que l’appelant a perçu indûment, avec son épouse, un montant de 14'077 francs. Il s’ensuit qu’R.________ a caché sciemment l’existence de comptes bancaires qui lui ont procuré un enrichissement illégitime de ce montant. Tous les éléments constitutifs de l’escroquerie sont ainsi réunis. La condamnation de l’appelant pour escroquerie doit être confirmée.</w:t>
      </w:r>
    </w:p>
    <w:p>
      <w:r>
        <w:rPr>
          <w:b/>
        </w:rPr>
        <w:t>E. 4</w:t>
      </w:r>
    </w:p>
    <w:p>
      <w:r>
        <w:t>CPP ; jugement, pp. 16-17). La peine pécuniaire prononcée, soit 90 jours- amende à 30 fr., peine entièrement complémentaire à celle prononcée en 2018, est également appropriée, tout comme le prononcé d’un sursis, dont l’appelant remplit les conditions, et la durée du délai d’épreuve de trois ans. Il en va de même de l’amende de 600 fr. infligée à titre de sanction</w:t>
      </w:r>
    </w:p>
    <w:p>
      <w:r>
        <w:t>- 11 - immédiate et de la fixation de la peine privative de liberté de substitution à 20 jours.</w:t>
      </w:r>
    </w:p>
    <w:p>
      <w:r>
        <w:rPr>
          <w:b/>
        </w:rPr>
        <w:t>E. 4.1</w:t>
      </w:r>
    </w:p>
    <w:p>
      <w:r>
        <w:t>Concluant à son acquittement, l’appelant ne conteste pas en tant que telle la peine prononcée à son encontre. Celle-ci doit néanmoins être revue d’office.</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w:t>
      </w:r>
    </w:p>
    <w:p>
      <w:r>
        <w:t>- 10 -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w:t>
      </w:r>
    </w:p>
    <w:p>
      <w:r>
        <w:rPr>
          <w:b/>
        </w:rPr>
        <w:t>E. 4.2.2</w:t>
      </w:r>
    </w:p>
    <w:p>
      <w:r>
        <w:t>A teneur de l'art. 42 al. 1 CP, le juge suspend en règle générale l'exécution d'une peine pécuniaire ou d'une peine privative de liberté de deux ans au plus lorsqu'une peine ferme ne paraît pas nécessaire pour détourner l'auteur d'autres crimes ou délits. Selon l’art. 42 al. 4 CP, le juge peut prononcer, en plus d’une peine avec sursis, une amende conformément à l’art. 106 CP.</w:t>
      </w:r>
    </w:p>
    <w:p>
      <w:r>
        <w:rPr>
          <w:b/>
        </w:rPr>
        <w:t>E. 4.3</w:t>
      </w:r>
    </w:p>
    <w:p>
      <w:r>
        <w:t>En l’espèce, le premier juge a qualifié la culpabilité d’R.________ de relativement importante. A charge, il a été retenu l’absence totale de remise en question du prévenu quant aux faits qui lui sont reprochés, et ce quand bien même il a déjà été condamné pour des faits similaires et qu’il devait ainsi avoir compris l’étendue de sa faute. Il n’avait eu aucun scrupule à percevoir l’aide sociale, qu’il qualifiait d’humiliation, tout en dissimulant d’importantes économies et une activité de trading bien réelle. Il avait trouvé fastidieux de remplir des documents pour justifier un droit à l’aide sociale. Or, il s’agissait précisément de la faute qui lui était reprochée. Il avait profité du système en toute connaissance de cause, bénéficiant d’une bonne compréhension de la situation juridique. A décharge, le premier juge a tenu compte de l’écoulement du temps. Les éléments de la culpabilité développés par le premier juge sont adéquats et peuvent être confirmés par adoption de motifs (art. 82 al.</w:t>
      </w:r>
    </w:p>
    <w:p>
      <w:r>
        <w:rPr>
          <w:b/>
        </w:rPr>
        <w:t>E. 5</w:t>
      </w:r>
    </w:p>
    <w:p>
      <w:r>
        <w:t>En définitive, l’appel d’R.________ doit être rejeté et le jugement attaqué intégralement confirmé. Vu l’issue de la cause, les frais de la procédure d’appel, constitués uniquement de l’émolument de jugement, par 1’100 fr. (art. 21 al. 1 TFIP), sont mis à la charge d’R.________, qui succombe (art. 428 al. 1, 1ère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