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PE23.001570 vom 24. August 2023</w:t>
      </w:r>
    </w:p>
    <w:p>
      <w:r>
        <w:t>VD Tribunal cantonal, 2023-08-24, FR</w:t>
      </w:r>
    </w:p>
    <w:p>
      <w:r>
        <w:rPr>
          <w:b/>
        </w:rPr>
        <w:t xml:space="preserve">Quelle: </w:t>
      </w:r>
      <w:r>
        <w:t>https://mcp.opencaselaw.ch/entscheid/vd_gerichte_PE23.001570</w:t>
      </w:r>
    </w:p>
    <w:p>
      <w:r>
        <w:t>FR: VD_GERICHTE PE23.001570 du 24 août 2023</w:t>
      </w:r>
    </w:p>
    <w:p>
      <w:r>
        <w:t>IT: VD_GERICHTE PE23.001570 del 24 agosto 2023</w:t>
      </w:r>
    </w:p>
    <w:p>
      <w:pPr>
        <w:pStyle w:val="Heading2"/>
      </w:pPr>
      <w:r>
        <w:t>Erwägungen</w:t>
      </w:r>
    </w:p>
    <w:p>
      <w:r>
        <w:rPr>
          <w:b/>
        </w:rPr>
        <w:t>E. 2.1</w:t>
      </w:r>
    </w:p>
    <w:p>
      <w:r>
        <w:t>A titre de mesures d’instruction, la requérante requiert l’audition de son mari B.J.________, d’S.________ et de T.________.</w:t>
      </w:r>
    </w:p>
    <w:p>
      <w:r>
        <w:rPr>
          <w:b/>
        </w:rPr>
        <w:t>E. 2.2</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les réf. citées).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les réf. citées, JdT 2015 I 115 ; TF 6B_1331/2020 du 18 janvier 2021 consid. 1.1 ; TF 6B_818/2020 du 18 janvier 2021 consid. 2.1).</w:t>
      </w:r>
    </w:p>
    <w:p>
      <w:r>
        <w:rPr>
          <w:b/>
        </w:rPr>
        <w:t>E. 2.3</w:t>
      </w:r>
    </w:p>
    <w:p>
      <w:r>
        <w:t>En l’occurrence, les auditions requises ne sont pas utiles au traitement de l’appel, dès lors que, comme on le verra ci-après (cf. infra consid. 3.3.2), elles ne sont pas de nature à modifier le résultat de celles déjà administrées, le dossier contenant tous les éléments de fait qui permettent de statuer en droit.</w:t>
      </w:r>
    </w:p>
    <w:p>
      <w:r>
        <w:t>- 7 - En conséquence, les réquisitions de A.J.________ doivent être rejetées.</w:t>
      </w:r>
    </w:p>
    <w:p>
      <w:r>
        <w:rPr>
          <w:b/>
        </w:rPr>
        <w:t>E. 3.1</w:t>
      </w:r>
    </w:p>
    <w:p>
      <w:r>
        <w:t>La requérante soutient en substance qu’elle n’était pas la conductrice du véhicule VD [...] le 27 février 2022, mais qu’il s’agirait d’une dénommée S.________, domiciliée en [...], et qu’elle se serait souvenue de cet élément qu’au mois de janvier 2023. Elle affirme en outre qu’elle n’aurait jamais rien su de la procédure pénale, dans la mesure où ce serait le comptable de son mari (en devenir), T.________, qui aurait rempli d’une part le formulaire « identité du conducteur » qui la désignait et d’autre part l’annexe 4 « droit du prévenu » et qu’elle n’aurait ainsi jamais reçu l’ordonnance querellée. Par ailleurs, l’amende aurait été payée sans qu’elle ne soit mise au courant. A l’appui de ces arguments, elle produit des pièces, dont notamment une attestation d’S.________ qui se désigne comme étant la conductrice fautive dudit véhicule au moment des faits (P. 5) et un courriel, non signé, du dénommé T.________ du 7 février 2023 adressé au défenseur de choix de la requérante, qui rapporte les dires de la requérante, en ce sens que le véhicule incriminé, dont elle est propriétaire, était utilisé par d’autres personnes (P. 9). Dans ce courriel, T.________ atteste en outre être le titulaire de la signature « du document que vous m’avez citer [sic] ».</w:t>
      </w:r>
    </w:p>
    <w:p>
      <w:r>
        <w:rPr>
          <w:b/>
        </w:rPr>
        <w:t>E. 3.2</w:t>
      </w:r>
    </w:p>
    <w:p>
      <w:r>
        <w:t>Selon la jurisprudence, le conducteur d’un véhicule automobile ne saurait se voir condamner à une infraction à la LCR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 ATF 105 Ib 114 consid. 1a, en matière de retrait du permis de conduire ; TF 6B_1232/2020 du 14 juin 2021 consid. 1.2 ; TF 6B_451/2021 du 28 mai 2021 consid. 1.2 ; TF 6B_914/2015 du 30 juin 2016 consid. 1.2). Ainsi,</w:t>
      </w:r>
    </w:p>
    <w:p>
      <w:r>
        <w:t>- 8 - lorsque l’auteur d’une infraction constatée ne peut être identifié sur-le- 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précité ; TF 6B_1232/2020 précité consid. 1.2 ; TF 6B_451/2021 précité consid. 1.2 ; TF 6B_914/2015 précité consid. 1.2). Il ne suffit pas au détenteur d’invoquer le droit au silence ou le droit de ne pas s’auto-incriminer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(TF 6B_1232/2020 précité consid. 1.2 ; TF 6B_451/2021 précité consid. 1.2 ; TF 6B_914/2015 précité consid. 1.2 ; TF 6B_237/2015 du 16 février 2016 consid. 1.2). Toujours selon la jurisprudence, la qualité de détenteur crée un indice de culpabilité suffisant appelant des explications de la part de celui- ci, la jurisprudence de la CourEDH admettant que l’on puisse tirer des conclusions en défaveur de l’accusé à raison de son silence, parce qu’il existe des éléments de preuve tels qu’ils appellent raisonnablement des explications de sa part. Un simple silence peut ainsi suffire à amener le juge à considérer que le détenteur était le conducteur, sauf si ce dernier fournit un minimum d’explications plausibles, comme la preuve de sa présence à un autre endroit au moment des faits ou la démonstration que le véhicule est à disposition d’un nombre indéterminé de personnes (Jeanneret, Les dispositions pénales de la Loi sur la circulation routière [LCR], Berne 2007, p. 15, Définitions n. 41 ; CAPE 15 septembre 2021/418 consid. 3.2.2 ; CAPE 24 juin 2020/255 ; CAPE 15 janvier 2014/7).</w:t>
      </w:r>
    </w:p>
    <w:p>
      <w:r>
        <w:rPr>
          <w:b/>
        </w:rPr>
        <w:t>E. 3.3.1</w:t>
      </w:r>
    </w:p>
    <w:p>
      <w:r>
        <w:t>En l’occurrence, la demande de révision déposée par la requérante est recevable, dès lors que la requérante invoque des faits</w:t>
      </w:r>
    </w:p>
    <w:p>
      <w:r>
        <w:t>- 9 - nouveaux, soit qu’elle se serait souvenue dans le courant du mois de janvier 2023, soit postérieurement à l’ordonnance entreprise, que le véhicule en cause aurait été prêté à S.________ le jour des faits. Cet élément est de nature à libérer la requérante de l’infraction de violation des règles de la circulation routière et des suites administratives. Il convient donc d’examiner si les motifs de révision sont fondés, soit qu’ils sont objectivement crédibles à l’aune du critère de la vraisemblance.</w:t>
      </w:r>
    </w:p>
    <w:p>
      <w:r>
        <w:rPr>
          <w:b/>
        </w:rPr>
        <w:t>E. 3.3.2</w:t>
      </w:r>
    </w:p>
    <w:p>
      <w:r>
        <w:t>La requérante explique que le dénommé T.________, collaborateur de l’entreprise dirigée par son mari (en devenir), B.J.________, aurait rempli le formulaire « identité du conducteur responsable », sans avoir reçu d’instructions spécifiques de sa part et sans avoir déterminé qui était le conducteur en cause. Toutefois, il ne peut être retenu, au stade de la vraisemblance, qu’un collaborateur de l’entreprise dirigée par le futur mari de la requérante la désigne directement, sachant que, toujours selon A.J.________, ledit véhicule était utilisé par plusieurs personnes. De plus, il est peu probable que T.________ ait coché la rubrique « [j]’atteste que l’identité ci-dessus correspond au conducteur au moment de l’infraction » et qu’il ait pu avoir toutes les informations relatives à la requérante qui lui étaient nécessaires pour remplir la fiche « identité du conducteur responsable », sans avoir procédé à des vérifications. Le courriel produit au dossier n’y change rien (P.9), dès lors qu’il n’est pas signé et qu’on ignore à quel document le dénommé T.________ fait référence, celui-ci se bornant pour le surplus à rapporter les dires de la requérante au sujet de l’usage que pouvait faire des tiers dudit véhicule. En outre, on observe qu’à l’époque des faits, la requérante était domiciliée [...], adresse à laquelle l’ordonnance querellée lui a été notifiée. Or, cette ordonnance a forcément été réceptionnée, puisque l’amende et les frais contenus dans l’ordonnance ont été payés. La requérante ne fait pas valoir qu’un tiers aurait ouvert son courrier à sa place. Enfin, la requérante n’explique pas les raisons pour lesquelles elle aurait prêté son véhicule à S.________ le 27 février 2022, ni, surtout, comment elle s’en est soudainement rappelée près d’un an plus tard. Le témoignage écrit d’S.________ (P. 5) n’est pas</w:t>
      </w:r>
    </w:p>
    <w:p>
      <w:r>
        <w:t>- 10 - propre, au stade de la vraisemblance déjà, à ébranler les constatations qui précèdent.</w:t>
      </w:r>
    </w:p>
    <w:p>
      <w:r>
        <w:rPr>
          <w:b/>
        </w:rPr>
        <w:t>E. 4</w:t>
      </w:r>
    </w:p>
    <w:p>
      <w:r>
        <w:t>Au vu de ce qui précède, la demande de révision présentée par A.J.________ doit être rejetée. Vu l’issue de la cause, les frais de la procédure de révision, par 880 fr. (art. 21 et 22 TFIP), seront mis à la charge de la requérante,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