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PE23.001505 vom 28. März 2023</w:t>
      </w:r>
    </w:p>
    <w:p>
      <w:r>
        <w:t>VD Tribunal cantonal, 2023-03-28, FR</w:t>
      </w:r>
    </w:p>
    <w:p>
      <w:r>
        <w:rPr>
          <w:b/>
        </w:rPr>
        <w:t xml:space="preserve">Quelle: </w:t>
      </w:r>
      <w:r>
        <w:t>https://mcp.opencaselaw.ch/entscheid/vd_gerichte_PE23.001505</w:t>
      </w:r>
    </w:p>
    <w:p>
      <w:r>
        <w:t>FR: VD_GERICHTE PE23.001505 du 28 mars 2023</w:t>
      </w:r>
    </w:p>
    <w:p>
      <w:r>
        <w:t>IT: VD_GERICHTE PE23.001505 del 28 marzo 2023</w:t>
      </w:r>
    </w:p>
    <w:p>
      <w:pPr>
        <w:pStyle w:val="Heading2"/>
      </w:pPr>
      <w:r>
        <w:t>Volltext</w:t>
      </w:r>
    </w:p>
    <w:p>
      <w:r>
        <w:t>TRIBUNAL CANTONAL 248 PE23.001505-SJH CHAMBRE DE S RECO URS PEN ALE __________________________________________ Arrêt du 28 mars 2023 __________________ Composition : Mme BYRDE, présidente M. Maillard et Mme Courbat, juges Greffière : Mme Huser ***** Art. 310, 385 al. 1 et 396 al. 1 CPP Statuant sur le recours interjeté le 24 février 2023 par G.________ contre l’ordonnance rendue le 14 février 2023 par le Ministère public de l’arrondissement de Lausanne dans la cause n° PE23.001505- SJH, la Chambre des recours pénale considère : En fait : A. G.________ fait l’objet d’une décision de curatelle de portée générale rendue le 10 décembre 2020 par la Justice de paix du district de Lausanne et un curateur lui a été désigné en la personne de T.________, assistant social auprès du Service des curatelles et tutelles professionnelles (SCTP). 351</w:t>
      </w:r>
    </w:p>
    <w:p>
      <w:r>
        <w:t>- 2 - Par la suite, un nouveau curateur, M. Kernen, a été nommé en sa faveur. Les 27 novembre 2022 et 19 janvier 2023, G.________ a déposé plainte pénale contre le SCTP, en particulier contre R.________, Cheffe de Service pour (sic) « complicité de vol de [s]es collections, de torture psychique par le dénigrement, la calomnie, le mensonge, la manipulation, le chantage, les menaces, le non respect de la vie privée, non respect du secret professionnel, rapports manipulés, argent séquestré pendant des mois, puis maintenu dans la misère avec un entretien volontairement insuffisant, complicité de tortures physiques, par de faux rapports qui ont menés à [l]e droguer de force ». Il reproche en particulier au SCTP des « manquements graves causant urgences de santé, structurelles, financières ». B. Par ordonnance du 14 février 2023, le Ministère public de l’arrondissement de Lausanne a refusé d’entrer en matière sur la plainte d’G.________ (I) et a mis les frais de sa décision, par 150 fr., à la charge de celui-ci (II). Le procureur a notamment retenu que dans ses courriers des 27 novembre 2022 et 19 janvier 2023, G.________ se plaignait pêle-mêle de nombreux dysfonctionnements ayant trait à sa curatelle, sans apporter d’élément permettant de soupçonner la commission d’une quelconque infraction pénale. Il a également relevé que les problèmes liés à la gestion de sa curatelle relevaient du droit civil, si bien qu’G.________ était invité à contester sa mise sous curatelle devant l’autorité compétente. C. Par courrier du 23 février 2023, G.________ a recouru contre cette ordonnance en concluant implicitement à son annulation. Il a également requis d’être mis au bénéfice de l’assistance judiciaire. Le recourant fait en substance valoir qu’il existe des dysfonctionnements au sein du SCTP et reproche à un certain nombre de</w:t>
      </w:r>
    </w:p>
    <w:p>
      <w:r>
        <w:t>- 3 - personnes (Cheffe de Service, curateur actuel, ancien curateur entre autres) une mauvaise gestion de sa curatelle.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le recours a été déposé en temps utile, auprès de l’autorité compétente, par la partie plaignante qui a qualité pour recourir (art. 382 al. 1 CPP).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w:t>
      </w:r>
    </w:p>
    <w:p>
      <w:r>
        <w:t>- 4 -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Donatsch/Lieber/Summers/ Wohlers [éd.], Kommentar zur Schweizerischen Strafprozessordnung, 3e éd., Zurich/Bâle/Genève 2020, n. 2 ad art. 385 StPO). Ainsi, il doit indiquer dans quelle mesure et sous quel angle il entend critiquer l’établissement des faits ou l’application du droit (Calame, in : Kuhn/Jeanneret/Perrier Depeursinge [éd.], Commentaire romand, op. cit.,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 2.2 En l’occurrence, le recourant se plaint en substance de dysfonctionnements au sein du SCTP, notamment de la part de la Cheffe de Service, Mme R.________, de son curateur actuel, M. W.________, de son ancien curateur, M. T.________, et d’autres personnes. Il pose plusieurs</w:t>
      </w:r>
    </w:p>
    <w:p>
      <w:r>
        <w:t>- 5 - questions (« Pouvez-vous me dire ce qui m’a amené à cette curatelle et pourquoi ? » ; « Pouvez-vous me dire pourquoi il n’y a pas eu d’inventaire de ma collection ? » ; « Pouvez-vous me prouver l’innocence de Madame R.________ ? ») mais n’essaie pas de démontrer qu’il existerait des indices de la commission d’une infraction. Ce faisant, le recours ne répond pas aux exigences des art. 385 al. 1 et 396 al. 1 CPP. De même, il renvoie à une série de pièces annexées, mais un tel renvoi ne suffit pas non plus à respecter lesdites exigences (cf. supra consid. 2.1). En outre, le fait que le recourant soit en désaccord avec les décisions prises par son curateur et par les autorités de protection de l’adulte ne suffit pas à rendre vraisemblable que les auteurs de ces décisions ou les divers intervenants du SCTP auraient commis une infraction, par exemple un abus d’autorité. Toutes les décisions en cause étaient au demeurant susceptibles de recours et il apparaît, au vu des pièces produites, qu’G.________ a utilisé les voies de droit idoines. Il résulte de ce qui précède que le recours doit être déclaré irrecevable, sans échange d’écritures (art. 390 al. 2 CPP). 3. 3.1 G.________ demande à être mis au bénéfice de l’assistance judiciaire gratuite pour la procédure de recours. 3.2 Aux termes de l’art. 136 al. 1 CPP, la direction de la procédure accorde entièrement ou partiellement l'assistance judiciaire à la partie plaignante pour lui permettre de faire valoir ses prétentions civiles, aux conditions suivantes : la partie plaignante est indigente (let. a) et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L’art. 136 CPP reprend ainsi les trois conditions cumulatives découlant de l'art. 29 al. 3 Cst. (Constitution</w:t>
      </w:r>
    </w:p>
    <w:p>
      <w:r>
        <w:t>- 6 - fédérale de la Confédération suisse du 18 avril 1999 ; RS 101), à savoir l'indigence, les chances de succès et le besoin d'être assisté. Au regard de la teneur de l'art. 136 CPP, le législateur fédéral a sciemment limité l'octroi de l'assistance judiciaire aux cas où le plaignant peut faire valoir des prétentions civiles (Message du Conseil fédéral du 21 décembre 2005 relatif à l'unification du droit de la procédure pénale, FF 2006 p. 1160, ch. 2.3.4.3 ; TF 1B_522/2020 du 11 janvier 2021 consid. 5.1 ; TF 1B_561/2019 du 12 février 2020 consid. 2.1). 3.3 En l’espèce, le recourant ne fait valoir aucune prétention civile, ni même ne rend vraisemblable qu’il pourrait conclure à de telles prétentions. De plus, sa plainte pénale était clairement dénuée de chances de succès. Sa demande d’assistance judiciaire doit par conséquent être rejetée. 4. Les frais de la procédure de recours, par 660 fr. (art. 21 al. 1 TFIP [Tarif des frais de procédure et indemnités en matière pénale du 28 septembre 2010 ; BLV 312.03.1]), sont mis à la charge du recourant, qui succombe (art. 428 al. 1 CPP). Par ces motifs, la Chambre des recours pénale prononce : I. Le recours est irrecevable. II. Le requête d’assistance judiciaire est rejetée. III. Les frais d’arrêt, par 660 fr. (six cent soixante francs), sont mis à la charge d’G.________.</w:t>
      </w:r>
    </w:p>
    <w:p>
      <w:r>
        <w:t>- 7 - IV. L’arrêt est exécutoire. La présidente : La greffière : Du Le présent arrêt, dont la rédaction a été approuvée à huis clos, est notifié, par l'envoi d'une copie complète, à : - M. G.________,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