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PE23.001279 vom 10. August 2023</w:t>
      </w:r>
    </w:p>
    <w:p>
      <w:r>
        <w:t>VD Tribunal cantonal, 2023-08-10, FR</w:t>
      </w:r>
    </w:p>
    <w:p>
      <w:r>
        <w:rPr>
          <w:b/>
        </w:rPr>
        <w:t xml:space="preserve">Quelle: </w:t>
      </w:r>
      <w:r>
        <w:t>https://mcp.opencaselaw.ch/entscheid/vd_gerichte_PE23.001279</w:t>
      </w:r>
    </w:p>
    <w:p>
      <w:r>
        <w:t>FR: VD_GERICHTE PE23.001279 du 10 août 2023</w:t>
      </w:r>
    </w:p>
    <w:p>
      <w:r>
        <w:t>IT: VD_GERICHTE PE23.001279 del 10 agosto 2023</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2.1.1</w:t>
      </w:r>
    </w:p>
    <w:p>
      <w:r>
        <w:t>A Provence, depuis l’EPSM La Sylvabelle, entre juin et juillet 2022, E.________ a demandé à F.________ de lui remettre une clé USB contenant des fichiers pédopornographiques, destinés à sa consommation personnelle. Cette dernière a, à cet effet, mis le prévenu en relation avec W.________ qui a remis ladite clé USB à E.________, à Provence, au prix de 400 ou 500 francs. Il est néanmoins apparu que la clé USB ne semblait pas contenir de fichiers pornographiques illégaux.</w:t>
      </w:r>
    </w:p>
    <w:p>
      <w:r>
        <w:rPr>
          <w:b/>
        </w:rPr>
        <w:t>E. 2.1.2</w:t>
      </w:r>
    </w:p>
    <w:p>
      <w:r>
        <w:t>En outre, E.________ a demandé à W.________, lequel n’a pas donné suite, de lui procurer des images pornographiques d’enfants de six à huit ans, qu’il avait l’intention de consommer et de remettre à un autre pensionnaire de l’EPSM La Sylvabelle auquel il a également prêté à réitérées reprises son téléphone afin que ce dernier puisse visionner des fichiers à caractère pédopornographiques via le darknet.</w:t>
      </w:r>
    </w:p>
    <w:p>
      <w:r>
        <w:rPr>
          <w:b/>
        </w:rPr>
        <w:t>E. 2.2</w:t>
      </w:r>
    </w:p>
    <w:p>
      <w:r>
        <w:t>A Provence, entre août 2022 et le 24 janvier 2023, jour de son interpellation, E.________ a consommé à tout le moins 1476 images de pornographie enfantine, 747 images de mineurs nus sans acte d’ordre sexuel, trois images de zoophilie, ainsi que quelques vidéos d’une durée de trente secondes à une minute via le navigateur Tor, application qu’il installait et supprimait avant et après chaque utilisation. En d roit : 1. Interjeté dans les formes et délais légaux (art. 385 et 399 CPP), par une partie ayant qualité pour recourir (art. 382 al. 1 CPP) contre le jugement d’un tribunal de première instance qui a clos la procédure</w:t>
      </w:r>
    </w:p>
    <w:p>
      <w:r>
        <w:t>- 18 - (art. 398 al. 1 CPP), l’appel est recevable, tout comme la pièce produite à l’appui de celui-ci (cf. art. 389 al. 3 CPP).</w:t>
      </w:r>
    </w:p>
    <w:p>
      <w:r>
        <w:rPr>
          <w:b/>
        </w:rPr>
        <w:t>E. 3.1</w:t>
      </w:r>
    </w:p>
    <w:p>
      <w:r>
        <w:t>E.________ estime que la peine privative de liberté de quinze mois prononcée à son encontre est trop sévère. Il fait valoir qu’une peine pécuniaire suffirait pour sanctionner son comportement.</w:t>
      </w:r>
    </w:p>
    <w:p>
      <w:r>
        <w:rPr>
          <w:b/>
        </w:rPr>
        <w:t>E. 3.2.1</w:t>
      </w:r>
    </w:p>
    <w:p>
      <w:r>
        <w:t>Aux termes de l’art. 34 CP, sauf disposition contraire, la peine pécuniaire est de trois jours-amende au moins et ne peut excéder 180 jours-amende. Le juge fixe leur nombre en fonction de la culpabilité de l’auteur (al. 1). Aux termes de l'art. 41 al. 1 CP, le juge peut prononcer une peine privative de liberté à la place d'une peine pécuniaire si une peine privative de liberté paraît justifiée pour détourner l'auteur d'autres crimes</w:t>
      </w:r>
    </w:p>
    <w:p>
      <w:r>
        <w:t>- 19 -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 ATF 144 IV 313 consid. 1.1.1). Conformément à l'art. 41 al. 2 CP, lorsque le juge choisit de prononcer à la place d'une peine pécuniaire une peine privative de liberté, il doit motiver le choix de cette dernière peine de manière circonstanciée.</w:t>
      </w:r>
    </w:p>
    <w:p>
      <w:r>
        <w:rPr>
          <w:b/>
        </w:rPr>
        <w:t>E. 3.2.2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- 20 -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Certains délinquants sont plus durement touchés par l'exécution d'une peine privative de liberté, notamment en raison de l'âge ou du mauvais état de santé. La vulnérabilité face à la peine ne doit toutefois être retenue comme circonstance atténuante que si elle rend la sanction considérablement plus dure que pour la moyenne des autres condamnés par exemple en présence de maladies graves, de psychoses claustrophobiques ou de surdimutité (TF 6B_233/2020 du 5 juin 2020 consid. 3.2 ; TF 6B_623/2014 du 5 janvier 2015 consid. 3.6.1 ; Quelo/Rodriguez, in : Commentaire romand, Code pénal I, op. cit., n. 77-75 ad art. 47 CP). Dans certains cas, le grand âge de l'auteur pourra aussi influer sur la sensibilité à la peine. Il a cependant été jugé que l'âge de 70 ans n'était pas suffisamment avancé pour être pris en considération (TF 6B_241/2020 du 6 mai 2020 consid. 4.1 et les références citées ; TF 6B_1463/2019 du 20 février 2020 consid. 2.1.1 et les références citées ; cf. TF 6B_1276/2015 du 29 juin 2016 consid. 2.2.2 concernant la prise en compte de la vulnérabilité d'un condamné âgé de 72 ans et TF 6B_533/2011 du 10 novembre 2011 consid. 7.1 et 7.4 concernant celle d'un condamné âgé de 87 ans). L'effet de la peine sur l'avenir du condamné, en tant qu'élément de prévention spéciale, ne permet toutefois que des corrections marginales, la peine devant toujours rester proportionnée à la faute (TF 6B_233/2020 op. cit. ; TF 6B_1276/2015 du 29 juin 2016 consid. 2.2.2 ; TF 6B_1154/2014 du 31 mai 2016 consid. 3.1 et la référence citée ; 6B_472/2011 du 14 mai 2012 consid. 17.2). Le juge dispose d’un large pouvoir d’appréciation.</w:t>
      </w:r>
    </w:p>
    <w:p>
      <w:r>
        <w:rPr>
          <w:b/>
        </w:rPr>
        <w:t>E. 3.2.3</w:t>
      </w:r>
    </w:p>
    <w:p>
      <w:r>
        <w:t>Aux termes de l’art. 19 al. 2 CP, le juge atténue la peine si, au moment d’agir, l’auteur ne possédait que partiellement la faculté d’apprécier le caractère illicite de son acte ou de se déterminer d’après</w:t>
      </w:r>
    </w:p>
    <w:p>
      <w:r>
        <w:t>- 21 - cette appréciation. Selon la jurisprudence, une diminution de la responsabilité au sens de l’art. 19 al. 2 CP conduit à une diminution de la faute et non de la peine.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précité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précité consid. 5.7).</w:t>
      </w:r>
    </w:p>
    <w:p>
      <w:r>
        <w:rPr>
          <w:b/>
        </w:rPr>
        <w:t>E. 3.2.4</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w:t>
      </w:r>
    </w:p>
    <w:p>
      <w:r>
        <w:t>- 22 -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3.3</w:t>
      </w:r>
    </w:p>
    <w:p>
      <w:r>
        <w:t>La culpabilité de E.________ est lourde. L’appelant a déjà été condamné en 2012 à un traitement institutionnel pour diffusion de pornographie, viol, actes d’ordre sexuel avec des enfants et contrainte sexuelle. Cette mesure n'a manifestement pas eu l’effet escompté puisque l’appelant a récidivé dans le même genre d’infractions. En consommant à nouveau des fichiers pédopornographiques, l'appelant se trouve ainsi en état de récidive spéciale. A charge, il doit aussi être tenu compte du fait qu’il a récidivé durant son placement à l’EPSM La Sylvabelle profitant du peu de liberté qui lui était accordée pour contacter des tiers pour qu’ils lui fournissent de la pédopornographie sur une clé USB ou en télécharger lui- même. La volonté délictuelle est importante. Alors que tout était mis en place pour qu’il ne récidive pas et qu’il était placé dans une institution dans ce but, il a volontairement caché ses intentions aux professionnels qui l’entouraient. Il s’est ainsi minutieusement organisé pour ne pas se faire surprendre par un éventuel contrôle. Comme le relève l’expertise psychiatrique du 19 octobre 2023, en contournant les règles, E.________ a le sentiment de prendre sa revanche. Il ne semble ainsi pas apprendre de ses erreurs. Pour le surplus, E.________ ne s’est pas contenté d’assouvir ses</w:t>
      </w:r>
    </w:p>
    <w:p>
      <w:r>
        <w:t>- 23 - propres déviances, puisqu’il a permis à un autre résident, souffrant des mêmes vices, d’utiliser son téléphone pour se rendre sur le darknet et qu’il avait l’intention de lui transmettre les fichiers pédopornographiques. A charge, il faut aussi tenir compte que l’activité délictuelle s’est déroulée sur plusieurs mois et qu’elle concerne plus de deux milles fichiers illicites. Il s’agit de pornographie dure impliquant l’exploitation sexuelle d’enfants. L’appelant a prétendu en avoir pris conscience mais sa remise en question reste fragmentaire. A l’audience d’appel, il a persisté à contester sa condamnation pour viol et n’a pas voulu nommer son comparse, protégeant ainsi toujours un autre pédophile. Dernier facteur aggravant, le concours d’infractions, l’appelant s’étant rendu coupable de plusieurs comportements réprimés par l’art. 197 CP. Il y a relativement peu d’éléments à décharge. L’expertise établie le 23 juin 2011, à laquelle il y a lieu de se référer faute d’expertise plus récente concernant la responsabilité pénale de l’appelant, a mis en évidence que E.________ était à tout moment capable d’apprécier le caractère illicite de ses actes, mais que, du fait de son trouble de la personnalité et de son importante vulnérabilité psychologique, il n’était pas complètement capable de se déterminer d’après cette appréciation, la capacité de se déterminer d’après cette appréciation étant restreinte dans une mesure légère. Compte tenu de cette diminution légère de responsabilité, la faute globale de l’appelant doit être qualifiée de moyenne à lourde. Il faut également tenir compte de l’enfance du prévenu dans un climat familial incestueux et totalement dysfonctionnel et du fait que certaines infractions sont restées au stade de la tentative. Comme on l’a vu, la prise de conscience n’est que partielle. Compte tenu de ce qui précède, l’appelant se trompe à plus d’un titre lorsqu’il prétend au prononcé d’une peine pécuniaire. Son importante culpabilité est totalement incompatible avec une sanction qui se limiterait à 180 jours. C’est en effet bien au-delà que la peine doit se</w:t>
      </w:r>
    </w:p>
    <w:p>
      <w:r>
        <w:t>- 24 - situer pour ce pédophile impénitent qui est parvenu à se procurer de la pédopornographie alors même qu’il était sous le régime de l’art. 59 CP. De toute manière, même si la quotité de la peine avait été compatible avec le prononcé d’une peine pécuniaire, il aurait fallu prononcer une peine privative de liberté pour des motifs de prévention spéciale. Contrairement à ce que soutient l’appelant, le fait qu’il ait commis les infractions en étant sous le coup d’une mesure aggrave sa culpabilité et il n’y a rien de disproportionné à poursuivre la mesure en milieu fermé, puisque l’accusé a récidivé en milieu ouvert. Pour le surplus, les arrêts de la Cour d’appel pénale dont il se prévaut ne lui sont d’aucun secours, d’une part parce que la situation des prévenus de ces autres affaires n’est en rien comparable avec la sienne et d’autre part parce que la Cour d’appel était saisie d’appels de prévenus exclusivement et n’avait donc aucun pouvoir de cognition pour augmenter la peine. L’appelant estime que son âge avancé aurait dû être pris en compte par les premiers juges dans la fixation de la peine, l’impact d’une peine privative de liberté étant, selon lui, plus important compte tenu de son âge et son état de santé qui serait précaire. E.________ ne démontre toutefois pas la raison pour laquelle il aurait fallu accorder un poids plus important à son âge dans les circonstances d'espèce, étant précisé que 73 ans n’est pas, au sens de la jurisprudence précitée, un âge si avancé qu’il devrait en tant que tel conduire à une modification de la peine. Comme déjà exposé précédemment, le comportement de E.________ doit être réprimé par une peine privative de liberté. Selon les principes du concours, il convient de définir l’infraction la plus grave qui est la tentative d’instigation à pornographie. Elle doit être sanctionnée d’une peine privative de liberté de huit mois, augmentée de quatre mois pour la tentative de pornographie (art. 22 ad 197 al. 4 CP) et de trois mois pour la pornographie (art. 197 al. 5 CP).</w:t>
      </w:r>
    </w:p>
    <w:p>
      <w:r>
        <w:t>- 25 -</w:t>
      </w:r>
    </w:p>
    <w:p>
      <w:r>
        <w:rPr>
          <w:b/>
        </w:rPr>
        <w:t>E. 4.1</w:t>
      </w:r>
    </w:p>
    <w:p>
      <w:r>
        <w:t>L’appelant estime que le sursis aurait dû lui être accordé dès lors que ses antécédents datent de plus de cinq ans.</w:t>
      </w:r>
    </w:p>
    <w:p>
      <w:r>
        <w:rPr>
          <w:b/>
        </w:rPr>
        <w:t>E. 4.2</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w:t>
      </w:r>
    </w:p>
    <w:p>
      <w:r>
        <w:t>- 26 -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4.3</w:t>
      </w:r>
    </w:p>
    <w:p>
      <w:r>
        <w:t>L’appelant prétend être digne du sursis mais cette conclusion est manifestement téméraire. Celui-ci n’est en effet pas parvenu à contrôler ses pulsions, alors même qu’il était placé dans une institution où il était suivi par des professionnels prêts à le soutenir dans sa lutte contre ses déviances. Au lieu de se confier et avouer ses faiblesses, il a tout fait pour cacher ses agissements. De plus, alors même qu’il avait été mis en garde par l’Office d’exécution des peines le 11 février 2022 après la découverte de liens, de consultations de sites internet et de téléchargements extrêmement suspects, à la suite du contrôle de ses divers supports informatiques et multimédias, il a persisté dans son comportement délictueux. Rien ne semble pouvoir le dissuader de récidiver, même pas la menace d’une réincarcération. Les remords exprimés ne l’ont été qu’après des dénégations obstinées et l’appelant n’a admis les faits qu’une fois confronté au contenu accablant de son téléphone portable. L’amorce d’une prise de conscience n’empêche pas de considérer que le pronostic reste très sombre pour ce pédophile incapable de contenir ses pulsions, malgré son âge. L’appelant prend certes un traitement d’inhibiteurs d’androgènes qui réduit le risque de récidive, mais cela ne suffit pas à renverser le pronostic. En effet, ce traitement n’est pas irréversible et dépend uniquement du bon vouloir de l’appelant, puisqu’il est suivi sur un mode volontaire. E.________ pourrait ainsi décider à tout moment de l’arrêter. De plus, comme le relève le rapport d’expertise du 19 octobre 2023, compte tenu du profil de l’appelant et du fait qu’il a réussi à commettre des actes dans un lieu très encadré, le risque qu’il récidive reste « moyen » même sous traitement (P. 76 p. 45).</w:t>
      </w:r>
    </w:p>
    <w:p>
      <w:r>
        <w:t>- 27 - C’est donc une peine ferme qui doit être prononcée.</w:t>
      </w:r>
    </w:p>
    <w:p>
      <w:r>
        <w:rPr>
          <w:b/>
        </w:rPr>
        <w:t>E. 5</w:t>
      </w:r>
    </w:p>
    <w:p>
      <w:r>
        <w:t>En définitive, l’appel de E.________ doit être rejeté et le jugement entrepris confirmé. Vu l’issue de la cause, sa conclusion relative à l’indemnité à titre de réparation du tort moral pour les quatorze jours de détention subis dans des conditions illicites dans les locaux de police est sans objet. La détention subie par l’appelant depuis le jugement de première instance sera déduite (art. 51 CP). Le maintien, jusqu’au jugement définitif et exécutoire, de la mesure de substitution ordonnée le 3 octobre 2023 par la Chambre des recours pénale en lieu et place de la détention pour des motifs de sûreté doit être ordonné, sous la forme de l’exécution de la mesure thérapeutique institutionnelle, fondée sur l’art. 59 CP, prononcée le 3 mai 2012 par le Tribunal correctionnel de l’arrondissement de la Broye et du Nord vaudois. Vu le sort de la cause, les frais de la procédure d’appel, constitués de l’émolument d’audience et de jugement par 2’600 fr. (art. 21 al. 1 et 2 TFIP), seront mis à la charge de E.________ qui succombe (art. 428 al. 1 CPP). Outre l’émolument, les frais d’appel comprennent également l’indemnité allouée au défenseur d’office (art. 422 al. 2 let. a CPP). Me Guglielmo Palumbo a produit une liste des opérations faisant état d’un temps total consacré à la procédure d’appel de 13 heures 50 minutes d’activité d’avocat, 5 minutes d’activité d’avocat-stagiaire et 1 heure et 30 minutes de temps de déplacement. Au regard de la nature de la présente cause, cette note d’honoraires est trop élevée et il convient de réduire la durée des opérations concernant certains postes. Le temps d’étude du dossier, qui était déjà connu, sera réduit à 1 heure au lieu de 2</w:t>
      </w:r>
    </w:p>
    <w:p>
      <w:r>
        <w:t>- 28 - heures et 50 minutes. La préparation de l’audience sera réduite à 1 heure au lieu de 3 heures. Le temps d’audience sera ajusté à sa durée effective et le temps invoqué pour un déplacement aller-retour Genève – Lausanne et le prix du billet de train seront indemnisés forfaitairement, conformément à la jurisprudence (JdT 2013 III 3 consid. 3c), à raison d’un montant de 120 francs. Il y a ainsi lieu d’indemniser 6 heures et 20 minutes au tarif horaire de 180 fr., soit 1'140 fr., ainsi que 5 minutes au tarif de 110 fr. pour le travail de l’avocat stagiaire, soit 9 fr. 15, auxquels il convient d’ajouter des débours forfaitaires à concurrence de 2 %, soit 22 fr. 90 (art. 3bis al. 1 RAJ [règlement du 7 décembre 2010 sur l'assistance judiciaire en matière civile ; BLV 211.02.3], applicable par renvoi de l’art. 26b TFIP), ainsi que la TVA à 7,7 %, par 90 fr. 25, soit un total de 1'262 fr. 40 pour les opérations effectuées jusqu’au 31 décembre 2023. S’agissant des opérations ayant eu lieu dès le 1er janvier 2024, il y a lieu d’indemniser 3 heures et 40 minutes au tarif horaire de 180 fr., plus les débours, par 13 fr. 20, une vacation à 120 fr., et la TVA à 8,1 %, par 64 fr. 25, soit un total de 857 fr. 45. L’indemnité totale s’élèvera ainsi à 2’119 fr. 85, TVA et débours inclus. E.________ sera tenu de rembourser à l’Etat l’indemnité due à son défenseur d’office dès que sa situation financière le permettra. Le dispositif communiqué aux parties indiquant à tort 2'116 fr. 65 comme indemnité due au défenseur d’office – le taux de TVA de 7,7 % ayant été appliqué également pour les opérations de 2024, alors que ce taux s’élevait alors à 8,1 % –, celui-ci sera rectifié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