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PE23.001146 vom 6. November 2025</w:t>
      </w:r>
    </w:p>
    <w:p>
      <w:r>
        <w:t>VD Tribunal cantonal, 2025-11-06, FR</w:t>
      </w:r>
    </w:p>
    <w:p>
      <w:r>
        <w:rPr>
          <w:b/>
        </w:rPr>
        <w:t xml:space="preserve">Quelle: </w:t>
      </w:r>
      <w:r>
        <w:t>https://mcp.opencaselaw.ch/entscheid/vd_gerichte_PE23.001146</w:t>
      </w:r>
    </w:p>
    <w:p>
      <w:r>
        <w:t>FR: VD_GERICHTE PE23.001146 du 6 novembre 2025</w:t>
      </w:r>
    </w:p>
    <w:p>
      <w:r>
        <w:t>IT: VD_GERICHTE PE23.001146 del 6 novembre 2025</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déposé en temps utile par la partie plaignante qui a qualité pour recourir (art. 382 al. 1 CPP). La conclusion tendant au renvoi de la cause au Ministère public pour ouverture d’une instruction pénale est irrecevable dans la mesure où une telle instruction a déjà été ouverte. Les autres conclusions ainsi que les pièces nouvelles sont recevables sous réserve de ce qui suit (cf. consid. 2.2).</w:t>
      </w:r>
    </w:p>
    <w:p>
      <w:r>
        <w:rPr>
          <w:b/>
        </w:rPr>
        <w:t>E. 2.1</w:t>
      </w:r>
    </w:p>
    <w:p>
      <w:r>
        <w:t>Le recours s’exerce par le dépôt d’un mémoire écrit et dûment motivé (art. 390 al. 1 et 396 al. 1 CPP). Les exigences de motivation du recours sont posées à l’art. 385 al. 1 CPP. Selon cette disposition, la 12J010</w:t>
      </w:r>
    </w:p>
    <w:p>
      <w:r>
        <w:t>- 7 -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consid. 2.2.1 ; CREP 23 octobre 2025/801 consid. 1.2). L’art. 385 al. 2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précité). 12J010</w:t>
      </w:r>
    </w:p>
    <w:p>
      <w:r>
        <w:t>- 8 -</w:t>
      </w:r>
    </w:p>
    <w:p>
      <w:r>
        <w:rPr>
          <w:b/>
        </w:rPr>
        <w:t>E. 2.2</w:t>
      </w:r>
    </w:p>
    <w:p>
      <w:r>
        <w:t>En l'espèce, il est vrai que le fait pour C.________ d’indiquer à A.________ que le recourant l’aurait physiquement agressé est constitutif d’une atteinte à l’honneur au sens des art. 173 et 174 CP, puisque cela revient à accuser celui-ci de s’être rendu coupable d’une infraction pénale (cf. ATF 148 IV 409 consid. 2.3 ; TF 7B_54/2024 du 7 février 2025 consid. 2.2.3). En revanche, l’affirmation selon laquelle le recourant lui avait posé beaucoup de problèmes n’est manifestement pas attentatoire à son honneur, puisqu’elle ne le fait pas passer pour méprisable. Cependant, le recourant ne conteste pas la motivation de l’ordonnance en tant qu’elle autorise C.________ à apporter les preuves libératoires de la vérité ou de sa bonne foi. Il conteste uniquement – et implicitement – que la preuve de la vérité ait été rapportée par le prévenu. Toutefois, il se limite à alléguer une violation de son droit d'être entendu et de son droit de faire interroger des témoins, en citant les art. 29 al. 2 Cst. (Constitution fédérale de la Confédération suisse du 18 avril 1999 ; RS 101) et 6 par 3 CEDH (Convention de sauvegarde des droits de l’homme et des libertés fondamentales du 4 novembre 1950 ; RS 0.101), au motif d’une « Inexactitude dans l’établissement des faits et l’appréciation des preuves », sans toutefois étayer ces critiques de manière conforme aux exigences de motivation d'un recours, telles qu’elles ressortent de l’art. 385 al. 1 CPP et de la jurisprudence y relative. Plus précisément, il se borne à affirmer qu’il ressortirait des preuves qu’il a déposées que les déclarations de C.________ et de son fils – au sujet des événements des 20 avril et 2 juillet 2020 – seraient fausses. Il ne procède toutefois à aucune démonstration au sujet du raisonnement du Ministère public sur la crédibilité des déclarations en cause. Quant au droit de faire interroger des témoins, il l’énonce mais ne précise pas quels témoins pourraient être déterminants. Les griefs du recourant ne sont dès lors pas motivés à satisfaction de droit. Un tel défaut de motivation ne saurait justifier qu’un délai supplémentaire soit imparti au recourant pour compléter son acte en application de l’art. 385 al. 2 CPP.</w:t>
      </w:r>
    </w:p>
    <w:p>
      <w:r>
        <w:rPr>
          <w:b/>
        </w:rPr>
        <w:t>E. 3</w:t>
      </w:r>
    </w:p>
    <w:p>
      <w:r>
        <w:t>Au vu de ce qui précède, le recours doit être déclaré irrecevable, sans échange d’écritures (art. 390 al. 2 CPP). 12J010</w:t>
      </w:r>
    </w:p>
    <w:p>
      <w:r>
        <w:t>- 9 - Les frais de recours, constitués en l’espèce du seul émolument d’arrêt, par 880 fr. (art. 20 al. 1 TFIP [tarif des frais de procédure et indemnités en matière pénale du 28 septembre 2010 ; BLV 312.03.1]), seront mis à la charge de B.________, dont la requête d’assistance judiciaire portait uniquement sur l’exonération d’avance de frais. Du reste, le recourant n’expose pas, et on ne voit pas en quoi, il aurait des prétentions civiles à faire valoir contre le prévenu (art. 136 al. 1 let. a CPP). Par ces motifs, la Chambre des recours pénale prononce : I. Le recours est irrecevable. II. Les frais d’arrêt, par 880 fr. (huit cent huitante francs), sont mis à la charge de B.________. III. L’arrêt est exécutoire. Le président : Le greffier : Du Le présent arrêt, dont la rédaction a été approuvée à huis clos, est notifié, par l'envoi d'une copie complète, à : - M. B.________, - Me Jérôme Campart, avocat (pour C.________), - Ministère public central, et communiqué à : - Mme la Procureure de l’arrondissement du Nord vaudois, 12J010</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