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PE23.000800 vom 15. Dezember 2023</w:t>
      </w:r>
    </w:p>
    <w:p>
      <w:r>
        <w:t>VD Tribunal cantonal, 2023-12-15, FR</w:t>
      </w:r>
    </w:p>
    <w:p>
      <w:r>
        <w:rPr>
          <w:b/>
        </w:rPr>
        <w:t xml:space="preserve">Quelle: </w:t>
      </w:r>
      <w:r>
        <w:t>https://mcp.opencaselaw.ch/entscheid/vd_gerichte_PE23.000800</w:t>
      </w:r>
    </w:p>
    <w:p>
      <w:r>
        <w:t>FR: VD_GERICHTE PE23.000800 du 15 décembre 2023</w:t>
      </w:r>
    </w:p>
    <w:p>
      <w:r>
        <w:t>IT: VD_GERICHTE PE23.000800 del 15 dicembre 2023</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w:t>
      </w:r>
    </w:p>
    <w:p>
      <w:r>
        <w:t>- 7 - suisse du 19 mai 2009 ; BLV 312.01]), lorsque le ministère public, les autorités pénales compétentes en matière de contraventions et les tribunaux de première instance sont concernés.</w:t>
      </w:r>
    </w:p>
    <w:p>
      <w:r>
        <w:rPr>
          <w:b/>
        </w:rPr>
        <w:t>E. 1.2</w:t>
      </w:r>
    </w:p>
    <w:p>
      <w:r>
        <w:t>La Chambre de céans est compétente pour statuer sur la demande de N.________,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De jurisprudence constante, les réquisits temporels de l'art.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1B_163/2022 du 27 février 2023 consid. 3.1 et les arrêts cités).</w:t>
      </w:r>
    </w:p>
    <w:p>
      <w:r>
        <w:rPr>
          <w:b/>
        </w:rPr>
        <w:t>E. 2.2</w:t>
      </w:r>
    </w:p>
    <w:p>
      <w:r>
        <w:t>; ATF 143 IV 69 consid. 3.2). Cet article du CPP concrétise aussi les droits déduits de l'art. 29 al. 1 Cst. garantissant l'équité du procès et assure au justiciable cette protection lorsque d'autres autorités ou organes (cf. en particulier art. 12 CPP) que des tribunaux (cf. art. 13 CPP) sont concernés (ATF 141 IV 178 consid. 3.2.2, JdT 2016 IV 247 ; TF 1B_33/2023 du 13 avril 2023 consid. 4.2).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w:t>
      </w:r>
    </w:p>
    <w:p>
      <w:r>
        <w:t>- 10 -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De manière générale, les déclarations d’un magistrat doivent être interprétées de façon objective, en tenant compte de leur contexte, de leurs modalités et du but apparemment recherché par leur auteur (TF 1B_65/2020 du 18 mai 2020 consid. 4.1 ; TF 1B_449/2019 du 26 novembre 2019 consid. 4.1).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1B_65/2020 précité ; TF 1B_186/2019 du 24 juin 2019 consid. 5.1).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w:t>
      </w:r>
    </w:p>
    <w:p>
      <w:r>
        <w:t>- 11 -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TF 7B_677/2023 du 24 novembre 2023 consid. 3.2 et les arrêts cités).</w:t>
      </w:r>
    </w:p>
    <w:p>
      <w:r>
        <w:rPr>
          <w:b/>
        </w:rPr>
        <w:t>E. 3.1</w:t>
      </w:r>
    </w:p>
    <w:p>
      <w:r>
        <w:t>Selon l'art. 56 let. f CPP, le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148 IV 137 consid.</w:t>
      </w:r>
    </w:p>
    <w:p>
      <w:r>
        <w:rPr>
          <w:b/>
        </w:rPr>
        <w:t>E. 3.2</w:t>
      </w:r>
    </w:p>
    <w:p>
      <w:r>
        <w:t>En l’espèce, les propos relevés par le requérant sont contenus dans une détermination que le Procureur X.________ a adressée à la Chambre de céans dans le cadre du recours que le requérant avait déposé contre l’ordonnance de non-entrée en matière qui avait été rendue ensuite de la plainte qu’il avait déposée. il faut cependant relever que cette ordonnance a été rendue par un autre Procureur, d’une part, et que, du reste, le fait qu’elle ait été annulée par la Chambre de céans ne fonderait de toute manière pas, en soi, une apparence de prévention selon la jurisprudence précitée (cf. consid. 3.1), d’autre part. Cela étant, il faut admettre que la détermination en cause contient un passage qui ne respecte pas l’objectivité attendue d’une prise de position (« heureux hasard »). Pour le reste, s’il est vrai que le Procureur visé qui fait état de sa conviction, c’est au terme d’une argumentation précise. Le fait que, dans le cadre de cette argumentation, le Procureur invoque des « incohérences » ou des « contradictions » de la part du requérant ne suffit pas à fonder une suspicion de partialité pour la suite de la procédure.</w:t>
      </w:r>
    </w:p>
    <w:p>
      <w:r>
        <w:rPr>
          <w:b/>
        </w:rPr>
        <w:t>E. 4</w:t>
      </w:r>
    </w:p>
    <w:p>
      <w:r>
        <w:t>En définitive, la demande de récusation déposée par N.________ est irrecevable. Vu l’issue de la cause, les frais de procédure, constitués du seul émolument de décision, par 1’210 fr. (art. 20 al. 1 TFIP [tarif des frais de procédure et indemnités en matière pénale du 28 septembre 2010 ; BLV 312.03.1], par renvoi de l’art. 22 TFIP), seront mis à la charge du requérant, qui succombe (art. 59 al. 4 CPP).</w:t>
      </w:r>
    </w:p>
    <w:p>
      <w:r>
        <w:t>- 12 - Par ces motifs, la Chambre des recours pénale prononce : I. La demande de récusation est irrecevable. II. Les frais de décision, par 1’210 fr. (mille deux cent dix francs), sont mis à la charge de N.________. III. La décision est exécutoire. La présidente : Le greffier : Du La présente décision, dont la rédaction a été approuvée à huis clos, est notifiée, par l'envoi d'une copie complète, à : - Me Ludovic Tirelli, avocat (pour N.________),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