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PE23.000559 vom 29. Mai 2025</w:t>
      </w:r>
    </w:p>
    <w:p>
      <w:r>
        <w:t>VD Tribunal cantonal, 2025-05-29, FR</w:t>
      </w:r>
    </w:p>
    <w:p>
      <w:r>
        <w:rPr>
          <w:b/>
        </w:rPr>
        <w:t xml:space="preserve">Quelle: </w:t>
      </w:r>
      <w:r>
        <w:t>https://mcp.opencaselaw.ch/entscheid/vd_gerichte_PE23.000559</w:t>
      </w:r>
    </w:p>
    <w:p>
      <w:r>
        <w:t>FR: VD_GERICHTE PE23.000559 du 29 mai 2025</w:t>
      </w:r>
    </w:p>
    <w:p>
      <w:r>
        <w:t>IT: VD_GERICHTE PE23.000559 del 29 maggio 2025</w:t>
      </w:r>
    </w:p>
    <w:p>
      <w:pPr>
        <w:pStyle w:val="Heading2"/>
      </w:pPr>
      <w:r>
        <w:t>Erwägungen</w:t>
      </w:r>
    </w:p>
    <w:p>
      <w:r>
        <w:rPr>
          <w:b/>
        </w:rPr>
        <w:t>E. 49</w:t>
      </w:r>
    </w:p>
    <w:p>
      <w:r>
        <w:t>consid. 3.2 ; TF 6B_770/2023 précité). 3.3 En l’espèce, il ressort des déclarations des personnes interrogées durant l’enquête, notamment des agents de sécurité du K.________, ainsi que du rapport d’investigation du 8 août 2022 de la police de Lausanne que le recourant, qui était fortement alcoolisé, a tout d’abord eu une altercation avec un autre client du K.________. Lorsque le prévenu est intervenu pour tenter de les séparer, le plaignant lui a asséné un ou deux coups à la tête avec une bouteille de rhum, qui s’est brisée.</w:t>
      </w:r>
    </w:p>
    <w:p>
      <w:r>
        <w:t>- 11 - L’intervention de plusieurs agents de sécurité a été nécessaire pour faire lâcher au recourant le tesson de la bouteille qu’il tenait en main et pour le maîtriser. Durant l’intervention des agents de sécurité, un tiers, qu’il n’a pas été possible d’identifier, a donné plusieurs coups de pied au recourant. Le recourant a été amené hors de la boîte de nuit par les agents de sécurité, qui l’ont ensuite maintenu au sol en attendant que la police arrive. Une ambulance a également été dépêchée afin d’examiner les blessures présentées par le recourant et le prévenu. Le recourant a été acheminé au CHUV pour y être pris en charge en raison de son état d’ébriété. Il a dû être menotté durant le trajet en raison du comportement virulent qu’il adoptait à l’encontre des ambulanciers et des policiers (PV aud. 2, R. 8 ; PV aud. 4, R. 6 ; PV aud. 5, R. 6 ; P. 6, 7 et P. 36). Les deux enregistrements vidéo versés au dossier, l’un pris par une caméra de surveillance du K.________ et l’autre par un passant depuis [...], n’apportent que peu d’informations supplémentaires. Le début de l’altercation n’est pas visible sur les images de vidéosurveillance du club. On peut en revanche voir des agents de sécurité pousser le recourant qui casse la bouteille sur la tête du prévenu, puis le plaquer au sol et tenter de lui faire lâcher quelque chose. Le second enregistrement permet quant à lui d’observer le tiers non identifié donner de violents coups de pied au recourant. Sur la base de ces éléments, le Ministère public a procédé à une appréciation anticipée de la réquisition de preuve du recourant tendant à l’audition de son cousin B.________ en qualité de témoin. Il a conclu que les faits étaient déjà suffisamment établis et que cette audition, qui nécessiterait la mise en œuvre d’une procédure d’entraide judiciaire internationale, serait disproportionnée. Ce raisonnement ne prête pas le flanc à la critique. On s’étonne du fait que le recourant ait déclaré lors de son audition-plainte que c’était son cousin qui s’était rendu le 30 juillet 2022 au K.________ afin de demander si ses clés de voiture et son téléphone avaient été retrouvés (PV aud. 1, p. 2), alors qu’il s’est avéré par la suite que c’est en réalité un dénommé Q.________ qui s’est rendu au K.________ pour tenter de récupérer les affaires du recourant et</w:t>
      </w:r>
    </w:p>
    <w:p>
      <w:r>
        <w:t>- 12 - que les deux n’ont aucun lien de parenté (PV aud. 3, ll. 22 et 23 ; P. 16). En outre, ce n’est que par courrier du 24 octobre 2024, dans le délai de prochaine clôture, que le recourant a donné le nom de son cousin, alors qu’il avait indiqué depuis sa première audition que celui-ci était présent au K.________ le soir des faits (PV aud. 1, p. 2 ; P. 7, R. 7 ; P. 38/1). C’est également dans ce courrier que le recourant a pour la première fois affirmé que son cousin pourrait apporter des éléments sur le déroulement des faits, alors que lors de ses deux auditions il a déclaré être sorti fumer seul lorsque l’altercation a eu lieu et a même précisé que son cousin était déjà parti de la boîte de nuit au moment des faits (PV aud. 1, p. 2 ; P. 7, R. 8). Au demeurant, le constat médical du 27 juillet 2022, établi à la suite du séjour du recourant au CHUV le 24 juillet 2022, ne mentionne pas la présence d’un cousin au moment où les ambulanciers sont arrivés sur les lieux ou à l’hôpital (P. 8) et aucune des personnes entendues lors de l’instruction n’a mentionné la présence d’un proche du recourant au moment de l’altercation. Dans ces conditions, le Ministère public était fondé à considérer que les faits étaient déjà suffisamment prouvés et qu’une demande d’entraide judiciaire en Belgique aux fins d’entendre un proche du recourant, dont il semble selon l’aveu même de ce dernier qu’il n’a pas assisté à l’altercation, était une mesure d’instruction inutile. S’agissant d’une éventuelle vidéo qui aurait été présentée au recourant durant son audition par la police et qui ne figurerait pas au dossier, dans le rapport d’investigation du 4 novembre 2024, la police de Lausanne a affirmé que seules les deux vidéos figurant au dossier ont été montrées aux parties (P. 39/1). La question de savoir si d’autres vidéos existeraient relève de conjectures et on ne voit pas quel intérêt auraient les agents de police à tenter de cacher l’existence d’une vidéo qu’ils auraient déjà présentée au recourant. Il convient donc de considérer que l’intégralité des vidéos à disposition de la police ont d’ores et déjà été produites. Enfin, l’intervention de plusieurs agents de sécurité ayant été nécessaire pour maîtriser le recourant et un tiers non identifié ayant également frappé celui-ci, l’expertise médicale requise ne serait d’aucune</w:t>
      </w:r>
    </w:p>
    <w:p>
      <w:r>
        <w:t>- 13 - utilité puisqu’elle ne permettrait pas d’établir l’auteur des différentes lésions. On ne voit par ailleurs aucune mesure d’instruction qui serait à même de pallier cette difficulté. Dans ces circonstances, faute de pouvoir établir un lien de causalité entre les gestes du prévenu et les lésions du recourant, un renvoi en accusation déboucherait très vraisemblablement sur un acquittement du prévenu. Pour cette première raison déjà, en application de l’art. 319 al. 1 let. b CPP, c’est à bon droit que le Ministère public a décidé de classer la procédure. Bien que les difficultés pour établir le lien de causalité mises en avant ci-dessus rendent l’examen difficile, il apparaît que la réponse du prévenu était proportionnée. Le prévenu était fondé à se protéger après avoir été lui-même attaqué, comme il était fondé à intervenir pour maintenir l’ordre en sa fonction d’agent de sécurité soumis au concordat intercantonal sur les entreprises de sécurité. En outre, en dehors de dermabrasions, tuméfactions et ecchymoses sur différents endroits du corps du recourant, le constat médical établi le 27 juillet 2022 fait uniquement état d’une déviation de l’arête du nez vers la gauche et d’une douleur à la palpation de l’articulation interphalangienne proximale du 2e doigt de la main gauche, ayant nécessité la pose d’une attelle (P. 8). Il en découle que les lésions présentées par le recourant sont légères et ne plaident pas en faveur d’un usage abusif de la force, étant rappelé que ce dernier a fait usage d’un objet dangereux, qu’il refusait de lâcher, à l’encontre du prévenu. Ainsi, le Ministère public était également fondé à ordonner le classement de la procédure en application de l’art. 319 al. 1 let. c CPP. Le grief du recourant doit donc être rejeté. 4. Au vu de ce qui précède, le recours, manifestement mal fondé, doit être rejeté dans la mesure où il est recevable, sans échange d’écritures (art. 390 al. 2 CPP). L’ordonnance entreprise doit être confirmée. Le recourant a été dispensé du versement de sûretés, une décision sur l’assistance judiciaire étant réservée. Vu le sort du recours, il</w:t>
      </w:r>
    </w:p>
    <w:p>
      <w:r>
        <w:t>- 14 - y a lieu de rejeter la requête d’assistance judiciaire, le recours étant manifestement voué à l’échec (cf. art. 136 al. 1 let. a CPP). Les frais de la procédure de recours, constitués en l’espèce du seul émolument d’arrêt, par 1'430 fr. (art. 20 al. 1 TFIP [tarif des frais de procédure et indemnités en matière pénale du 28 septembre 2010 ; BLV 312.03.1]), seront mis à la charge d’U.________, qui succombe (art. 428 al. 1 CPP). Par ces motifs, la Chambre des recours pénale prononce : I. Le recours est rejeté dans la mesure où il est recevable. II. L’ordonnance du 6 mars 2025 est confirmée. III. La requête d’assistance judiciaire est rejetée. IV. Les frais d’arrêt, par 1'430 fr. (mille quatre cent trente francs), sont mis à la charge d’U.________. V. L’arrêt est exécutoire. Le président : Le greffier :</w:t>
      </w:r>
    </w:p>
    <w:p>
      <w:r>
        <w:t>- 15 - Du Le présent arrêt, dont la rédaction a été approuvée à huis clos, est notifié, par l'envoi d'une copie complète, à : - Me Razi Abderrahim, avocat (pour U.________), - N.________,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